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163DF" w14:textId="5EA91521" w:rsidR="00A103D1" w:rsidRPr="00A103D1" w:rsidRDefault="00A103D1" w:rsidP="00C71DE1">
      <w:pPr>
        <w:spacing w:before="240" w:after="240" w:line="240" w:lineRule="auto"/>
        <w:rPr>
          <w:rFonts w:eastAsia="Times New Roman" w:cstheme="minorHAnsi"/>
          <w:b/>
          <w:bCs/>
          <w:color w:val="000000"/>
          <w:sz w:val="32"/>
          <w:szCs w:val="32"/>
          <w:u w:val="single"/>
        </w:rPr>
      </w:pPr>
      <w:bookmarkStart w:id="0" w:name="_Hlk41393965"/>
      <w:r w:rsidRPr="00A103D1">
        <w:rPr>
          <w:rFonts w:eastAsia="Times New Roman" w:cstheme="minorHAnsi"/>
          <w:b/>
          <w:bCs/>
          <w:color w:val="000000"/>
          <w:sz w:val="32"/>
          <w:szCs w:val="32"/>
          <w:u w:val="single"/>
        </w:rPr>
        <w:t>End of Session</w:t>
      </w:r>
    </w:p>
    <w:p w14:paraId="34C987C3" w14:textId="1376A9AD" w:rsidR="00A428A1" w:rsidRDefault="00C71DE1" w:rsidP="00C71DE1">
      <w:pPr>
        <w:spacing w:before="240" w:after="240" w:line="240" w:lineRule="auto"/>
        <w:rPr>
          <w:rFonts w:eastAsia="Times New Roman" w:cstheme="minorHAnsi"/>
          <w:color w:val="000000"/>
        </w:rPr>
      </w:pPr>
      <w:r w:rsidRPr="00C71DE1">
        <w:rPr>
          <w:rFonts w:eastAsia="Times New Roman" w:cstheme="minorHAnsi"/>
          <w:color w:val="000000"/>
        </w:rPr>
        <w:t>The 2020 spring legislative session stands adjourned.  The General Assembly met for special session, the first time the Legislature convened since March 5</w:t>
      </w:r>
      <w:r w:rsidRPr="00C71DE1">
        <w:rPr>
          <w:rFonts w:eastAsia="Times New Roman" w:cstheme="minorHAnsi"/>
          <w:color w:val="000000"/>
          <w:vertAlign w:val="superscript"/>
        </w:rPr>
        <w:t>th</w:t>
      </w:r>
      <w:r w:rsidRPr="00C71DE1">
        <w:rPr>
          <w:rFonts w:eastAsia="Times New Roman" w:cstheme="minorHAnsi"/>
          <w:color w:val="000000"/>
        </w:rPr>
        <w:t xml:space="preserve">, to pass the Fiscal Year 2021 budget and other emergency matters.  </w:t>
      </w:r>
      <w:r w:rsidR="00A764A7">
        <w:rPr>
          <w:rFonts w:eastAsia="Times New Roman" w:cstheme="minorHAnsi"/>
          <w:color w:val="000000"/>
        </w:rPr>
        <w:t>Meeting in marathon fashion, the General Assembly began session on Wednesday, May 18</w:t>
      </w:r>
      <w:r w:rsidR="00A764A7" w:rsidRPr="00A764A7">
        <w:rPr>
          <w:rFonts w:eastAsia="Times New Roman" w:cstheme="minorHAnsi"/>
          <w:color w:val="000000"/>
          <w:vertAlign w:val="superscript"/>
        </w:rPr>
        <w:t>th</w:t>
      </w:r>
      <w:r w:rsidR="00A764A7">
        <w:rPr>
          <w:rFonts w:eastAsia="Times New Roman" w:cstheme="minorHAnsi"/>
          <w:color w:val="000000"/>
        </w:rPr>
        <w:t xml:space="preserve"> and concluded their work in the early morning hours of Sunday, May 24</w:t>
      </w:r>
      <w:r w:rsidR="00A764A7" w:rsidRPr="00A764A7">
        <w:rPr>
          <w:rFonts w:eastAsia="Times New Roman" w:cstheme="minorHAnsi"/>
          <w:color w:val="000000"/>
          <w:vertAlign w:val="superscript"/>
        </w:rPr>
        <w:t>th</w:t>
      </w:r>
      <w:r w:rsidR="00A764A7">
        <w:rPr>
          <w:rFonts w:eastAsia="Times New Roman" w:cstheme="minorHAnsi"/>
          <w:color w:val="000000"/>
        </w:rPr>
        <w:t xml:space="preserve">. </w:t>
      </w:r>
      <w:r w:rsidR="00347016" w:rsidRPr="002A2A96">
        <w:rPr>
          <w:rFonts w:eastAsia="Times New Roman" w:cstheme="minorHAnsi"/>
          <w:color w:val="000000"/>
        </w:rPr>
        <w:t>The week proved chaotic as the General Assembly tried to quickly finish its business</w:t>
      </w:r>
      <w:r w:rsidR="00A65EB1" w:rsidRPr="002A2A96">
        <w:rPr>
          <w:rFonts w:eastAsia="Times New Roman" w:cstheme="minorHAnsi"/>
          <w:color w:val="000000"/>
        </w:rPr>
        <w:t xml:space="preserve"> while social distancing and following new health guidelines</w:t>
      </w:r>
      <w:r w:rsidR="00347016" w:rsidRPr="002A2A96">
        <w:rPr>
          <w:rFonts w:eastAsia="Times New Roman" w:cstheme="minorHAnsi"/>
          <w:color w:val="000000"/>
        </w:rPr>
        <w:t xml:space="preserve">. The House convened at the BOS convention center </w:t>
      </w:r>
      <w:r w:rsidR="002F5FEF">
        <w:rPr>
          <w:rFonts w:eastAsia="Times New Roman" w:cstheme="minorHAnsi"/>
          <w:color w:val="000000"/>
        </w:rPr>
        <w:t>in downtown Springfield while</w:t>
      </w:r>
      <w:r w:rsidR="00347016" w:rsidRPr="002A2A96">
        <w:rPr>
          <w:rFonts w:eastAsia="Times New Roman" w:cstheme="minorHAnsi"/>
          <w:color w:val="000000"/>
        </w:rPr>
        <w:t xml:space="preserve"> the Senate conducted business in their chamber</w:t>
      </w:r>
      <w:r w:rsidR="002F5FEF">
        <w:rPr>
          <w:rFonts w:eastAsia="Times New Roman" w:cstheme="minorHAnsi"/>
          <w:color w:val="000000"/>
        </w:rPr>
        <w:t xml:space="preserve"> under strict social distanc</w:t>
      </w:r>
      <w:r w:rsidR="00556CD5">
        <w:rPr>
          <w:rFonts w:eastAsia="Times New Roman" w:cstheme="minorHAnsi"/>
          <w:color w:val="000000"/>
        </w:rPr>
        <w:t>ing</w:t>
      </w:r>
      <w:r w:rsidR="002F5FEF">
        <w:rPr>
          <w:rFonts w:eastAsia="Times New Roman" w:cstheme="minorHAnsi"/>
          <w:color w:val="000000"/>
        </w:rPr>
        <w:t xml:space="preserve"> rules.</w:t>
      </w:r>
      <w:r w:rsidR="00347016" w:rsidRPr="002A2A96">
        <w:rPr>
          <w:rFonts w:eastAsia="Times New Roman" w:cstheme="minorHAnsi"/>
          <w:color w:val="000000"/>
        </w:rPr>
        <w:t xml:space="preserve">  Legislators were required to wear face </w:t>
      </w:r>
      <w:r w:rsidR="00793568" w:rsidRPr="002A2A96">
        <w:rPr>
          <w:rFonts w:eastAsia="Times New Roman" w:cstheme="minorHAnsi"/>
          <w:color w:val="000000"/>
        </w:rPr>
        <w:t>coverings</w:t>
      </w:r>
      <w:r w:rsidR="00793568">
        <w:rPr>
          <w:rFonts w:eastAsia="Times New Roman" w:cstheme="minorHAnsi"/>
          <w:color w:val="000000"/>
        </w:rPr>
        <w:t>;</w:t>
      </w:r>
      <w:r w:rsidR="002F5FEF">
        <w:rPr>
          <w:rFonts w:eastAsia="Times New Roman" w:cstheme="minorHAnsi"/>
          <w:color w:val="000000"/>
        </w:rPr>
        <w:t xml:space="preserve"> a </w:t>
      </w:r>
      <w:r w:rsidR="00AF6610">
        <w:rPr>
          <w:rFonts w:eastAsia="Times New Roman" w:cstheme="minorHAnsi"/>
          <w:color w:val="000000"/>
        </w:rPr>
        <w:t>limited number of Senators</w:t>
      </w:r>
      <w:r w:rsidR="002F5FEF">
        <w:rPr>
          <w:rFonts w:eastAsia="Times New Roman" w:cstheme="minorHAnsi"/>
          <w:color w:val="000000"/>
        </w:rPr>
        <w:t xml:space="preserve"> were allowed on the floor at a time</w:t>
      </w:r>
      <w:r w:rsidR="00793568">
        <w:rPr>
          <w:rFonts w:eastAsia="Times New Roman" w:cstheme="minorHAnsi"/>
          <w:color w:val="000000"/>
        </w:rPr>
        <w:t>;</w:t>
      </w:r>
      <w:r w:rsidR="00347016" w:rsidRPr="002A2A96">
        <w:rPr>
          <w:rFonts w:eastAsia="Times New Roman" w:cstheme="minorHAnsi"/>
          <w:color w:val="000000"/>
        </w:rPr>
        <w:t xml:space="preserve"> and most staff continued to work remotely. </w:t>
      </w:r>
      <w:r w:rsidR="008226FB">
        <w:rPr>
          <w:rFonts w:eastAsia="Times New Roman" w:cstheme="minorHAnsi"/>
          <w:color w:val="000000"/>
        </w:rPr>
        <w:t xml:space="preserve"> </w:t>
      </w:r>
      <w:r w:rsidR="00A103D1">
        <w:rPr>
          <w:rFonts w:eastAsia="Times New Roman" w:cstheme="minorHAnsi"/>
          <w:color w:val="000000"/>
        </w:rPr>
        <w:t>Lobbyists were only allowed to submit written testimony on legislation and were only permitted to watch session from two rooms in the capitol building.</w:t>
      </w:r>
    </w:p>
    <w:p w14:paraId="6E2C9F14" w14:textId="4A5816C8" w:rsidR="000E0DB6" w:rsidRDefault="000E0DB6" w:rsidP="00C71DE1">
      <w:pPr>
        <w:spacing w:before="240" w:after="240" w:line="240" w:lineRule="auto"/>
        <w:rPr>
          <w:rFonts w:eastAsia="Times New Roman" w:cstheme="minorHAnsi"/>
          <w:color w:val="000000"/>
        </w:rPr>
      </w:pPr>
      <w:r>
        <w:rPr>
          <w:rFonts w:eastAsia="Times New Roman" w:cstheme="minorHAnsi"/>
          <w:color w:val="000000"/>
        </w:rPr>
        <w:t xml:space="preserve">The General Assembly approved several omnibus measures including passing a budget for next year.  There were several </w:t>
      </w:r>
      <w:r w:rsidR="005D1453">
        <w:rPr>
          <w:rFonts w:eastAsia="Times New Roman" w:cstheme="minorHAnsi"/>
          <w:color w:val="000000"/>
        </w:rPr>
        <w:t>items</w:t>
      </w:r>
      <w:r>
        <w:rPr>
          <w:rFonts w:eastAsia="Times New Roman" w:cstheme="minorHAnsi"/>
          <w:color w:val="000000"/>
        </w:rPr>
        <w:t xml:space="preserve"> that proved to</w:t>
      </w:r>
      <w:r w:rsidR="005D1453">
        <w:rPr>
          <w:rFonts w:eastAsia="Times New Roman" w:cstheme="minorHAnsi"/>
          <w:color w:val="000000"/>
        </w:rPr>
        <w:t>o</w:t>
      </w:r>
      <w:r>
        <w:rPr>
          <w:rFonts w:eastAsia="Times New Roman" w:cstheme="minorHAnsi"/>
          <w:color w:val="000000"/>
        </w:rPr>
        <w:t xml:space="preserve"> difficult to accomplish in the truncated session.  Efforts </w:t>
      </w:r>
      <w:r w:rsidR="005D1453">
        <w:rPr>
          <w:rFonts w:eastAsia="Times New Roman" w:cstheme="minorHAnsi"/>
          <w:color w:val="000000"/>
        </w:rPr>
        <w:t xml:space="preserve">to </w:t>
      </w:r>
      <w:r>
        <w:rPr>
          <w:rFonts w:eastAsia="Times New Roman" w:cstheme="minorHAnsi"/>
          <w:color w:val="000000"/>
        </w:rPr>
        <w:t xml:space="preserve">enact ethics reform, housing assistance, codification of the Governor’s Executive Orders regarding telehealth reimbursement parity, cannabis law changes, and a legislative effort to </w:t>
      </w:r>
      <w:r w:rsidR="005D1453">
        <w:rPr>
          <w:rFonts w:eastAsia="Times New Roman" w:cstheme="minorHAnsi"/>
          <w:color w:val="000000"/>
        </w:rPr>
        <w:t>give the Governor additional tools to enforce the Governor’s Executive Orders all stalled this week.  There was an attempt to authorize the legislature to meet remotely, but those provisions were stripped from the bill after numerous legislators objected.  The Senate did, however, make rules changes to allow the chamber to conduct remote committee hearings and allow members who cannot be physically present to participate</w:t>
      </w:r>
      <w:r w:rsidR="002F3DB9">
        <w:rPr>
          <w:rFonts w:eastAsia="Times New Roman" w:cstheme="minorHAnsi"/>
          <w:color w:val="000000"/>
        </w:rPr>
        <w:t xml:space="preserve"> in proceedings</w:t>
      </w:r>
      <w:r w:rsidR="005D1453">
        <w:rPr>
          <w:rFonts w:eastAsia="Times New Roman" w:cstheme="minorHAnsi"/>
          <w:color w:val="000000"/>
        </w:rPr>
        <w:t xml:space="preserve">   </w:t>
      </w:r>
    </w:p>
    <w:bookmarkEnd w:id="0"/>
    <w:p w14:paraId="306ED4B1" w14:textId="472A9E83" w:rsidR="00A103D1" w:rsidRPr="00A103D1" w:rsidRDefault="00A103D1" w:rsidP="00C71DE1">
      <w:pPr>
        <w:spacing w:before="240" w:after="240" w:line="240" w:lineRule="auto"/>
        <w:rPr>
          <w:rFonts w:eastAsia="Times New Roman" w:cstheme="minorHAnsi"/>
          <w:b/>
          <w:bCs/>
          <w:i/>
          <w:iCs/>
          <w:color w:val="000000"/>
          <w:u w:val="single"/>
        </w:rPr>
      </w:pPr>
      <w:r w:rsidRPr="00A103D1">
        <w:rPr>
          <w:rFonts w:eastAsia="Times New Roman" w:cstheme="minorHAnsi"/>
          <w:b/>
          <w:bCs/>
          <w:i/>
          <w:iCs/>
          <w:color w:val="000000"/>
          <w:u w:val="single"/>
        </w:rPr>
        <w:t>Stay-at-Home Order</w:t>
      </w:r>
    </w:p>
    <w:p w14:paraId="490FE10E" w14:textId="6754A5DB" w:rsidR="00A103D1" w:rsidRDefault="00A103D1" w:rsidP="00C71DE1">
      <w:pPr>
        <w:spacing w:before="240" w:after="240" w:line="240" w:lineRule="auto"/>
      </w:pPr>
      <w:r>
        <w:t>In the late afternoon of Friday, March 20, Governor JB Pritzker announced the imposition of a stay-at-home order set to take effect slightly more than twenty-four hours later. The IIA of IL wrote a letter to Governor Pritzker and Director Muriel of the Department of Insurance to include insurance services as an essential business. We were able to secure a broad definition in the Governor’s Executive Order (</w:t>
      </w:r>
      <w:hyperlink r:id="rId5" w:history="1">
        <w:r w:rsidRPr="00A103D1">
          <w:rPr>
            <w:rStyle w:val="Hyperlink"/>
          </w:rPr>
          <w:t>E.O. 2020-10</w:t>
        </w:r>
      </w:hyperlink>
      <w:r>
        <w:t>). Since the first Executive Order expired on April 7</w:t>
      </w:r>
      <w:r w:rsidRPr="00A103D1">
        <w:rPr>
          <w:vertAlign w:val="superscript"/>
        </w:rPr>
        <w:t>th</w:t>
      </w:r>
      <w:r>
        <w:t xml:space="preserve">, the Governor has issued two subsequent Executive Orders </w:t>
      </w:r>
      <w:r w:rsidR="00F67BCF">
        <w:t>to extend the stay-at-home order.</w:t>
      </w:r>
    </w:p>
    <w:p w14:paraId="356BA3D1" w14:textId="4C405F90" w:rsidR="0082296D" w:rsidRDefault="0082296D" w:rsidP="00C71DE1">
      <w:pPr>
        <w:spacing w:before="240" w:after="240" w:line="240" w:lineRule="auto"/>
      </w:pPr>
      <w:bookmarkStart w:id="1" w:name="_Hlk41394163"/>
      <w:r>
        <w:t>The General Assembly did not take up legislation that would punish businesses for disobeying the stay=at-home order, despite Governor Pritzker’s urging. The administration will be looking into other ways to enforce the order.</w:t>
      </w:r>
    </w:p>
    <w:bookmarkEnd w:id="1"/>
    <w:p w14:paraId="189CF870" w14:textId="77777777" w:rsidR="009E627C" w:rsidRDefault="009E627C" w:rsidP="00C71DE1">
      <w:pPr>
        <w:spacing w:before="240" w:after="240" w:line="240" w:lineRule="auto"/>
        <w:rPr>
          <w:b/>
          <w:bCs/>
          <w:i/>
          <w:iCs/>
          <w:u w:val="single"/>
        </w:rPr>
      </w:pPr>
    </w:p>
    <w:p w14:paraId="14EF30C4" w14:textId="77777777" w:rsidR="009E627C" w:rsidRDefault="009E627C" w:rsidP="00C71DE1">
      <w:pPr>
        <w:spacing w:before="240" w:after="240" w:line="240" w:lineRule="auto"/>
        <w:rPr>
          <w:b/>
          <w:bCs/>
          <w:i/>
          <w:iCs/>
          <w:u w:val="single"/>
        </w:rPr>
      </w:pPr>
    </w:p>
    <w:p w14:paraId="119119C5" w14:textId="77777777" w:rsidR="009E627C" w:rsidRDefault="009E627C" w:rsidP="00C71DE1">
      <w:pPr>
        <w:spacing w:before="240" w:after="240" w:line="240" w:lineRule="auto"/>
        <w:rPr>
          <w:b/>
          <w:bCs/>
          <w:i/>
          <w:iCs/>
          <w:u w:val="single"/>
        </w:rPr>
      </w:pPr>
    </w:p>
    <w:p w14:paraId="5025A331" w14:textId="77777777" w:rsidR="009E627C" w:rsidRDefault="009E627C" w:rsidP="00C71DE1">
      <w:pPr>
        <w:spacing w:before="240" w:after="240" w:line="240" w:lineRule="auto"/>
        <w:rPr>
          <w:b/>
          <w:bCs/>
          <w:i/>
          <w:iCs/>
          <w:u w:val="single"/>
        </w:rPr>
      </w:pPr>
    </w:p>
    <w:p w14:paraId="464BBA3D" w14:textId="77777777" w:rsidR="009E627C" w:rsidRDefault="009E627C" w:rsidP="00C71DE1">
      <w:pPr>
        <w:spacing w:before="240" w:after="240" w:line="240" w:lineRule="auto"/>
        <w:rPr>
          <w:b/>
          <w:bCs/>
          <w:i/>
          <w:iCs/>
          <w:u w:val="single"/>
        </w:rPr>
      </w:pPr>
    </w:p>
    <w:p w14:paraId="16A7749D" w14:textId="77777777" w:rsidR="009E627C" w:rsidRDefault="009E627C" w:rsidP="00C71DE1">
      <w:pPr>
        <w:spacing w:before="240" w:after="240" w:line="240" w:lineRule="auto"/>
        <w:rPr>
          <w:b/>
          <w:bCs/>
          <w:i/>
          <w:iCs/>
          <w:u w:val="single"/>
        </w:rPr>
      </w:pPr>
    </w:p>
    <w:p w14:paraId="65C69A85" w14:textId="62349791" w:rsidR="00F67BCF" w:rsidRPr="00F67BCF" w:rsidRDefault="00F67BCF" w:rsidP="00C71DE1">
      <w:pPr>
        <w:spacing w:before="240" w:after="240" w:line="240" w:lineRule="auto"/>
        <w:rPr>
          <w:b/>
          <w:bCs/>
          <w:i/>
          <w:iCs/>
          <w:u w:val="single"/>
        </w:rPr>
      </w:pPr>
      <w:r w:rsidRPr="00F67BCF">
        <w:rPr>
          <w:b/>
          <w:bCs/>
          <w:i/>
          <w:iCs/>
          <w:u w:val="single"/>
        </w:rPr>
        <w:lastRenderedPageBreak/>
        <w:t>Restore Illinois</w:t>
      </w:r>
    </w:p>
    <w:p w14:paraId="137F1341" w14:textId="77777777" w:rsidR="009E627C" w:rsidRDefault="00F67BCF" w:rsidP="00C71DE1">
      <w:pPr>
        <w:spacing w:before="240" w:after="240" w:line="240" w:lineRule="auto"/>
        <w:rPr>
          <w:rFonts w:eastAsia="Times New Roman" w:cstheme="minorHAnsi"/>
          <w:color w:val="000000"/>
        </w:rPr>
      </w:pPr>
      <w:r>
        <w:rPr>
          <w:rFonts w:eastAsia="Times New Roman" w:cstheme="minorHAnsi"/>
          <w:color w:val="000000"/>
        </w:rPr>
        <w:t xml:space="preserve">Seven weeks after the first stay-at-home order was issued, the Governor announced </w:t>
      </w:r>
      <w:hyperlink r:id="rId6" w:history="1">
        <w:r w:rsidRPr="00F67BCF">
          <w:rPr>
            <w:rStyle w:val="Hyperlink"/>
            <w:rFonts w:eastAsia="Times New Roman" w:cstheme="minorHAnsi"/>
            <w:b/>
            <w:bCs/>
            <w:i/>
            <w:iCs/>
          </w:rPr>
          <w:t>Restore Illinois</w:t>
        </w:r>
      </w:hyperlink>
      <w:r>
        <w:rPr>
          <w:rFonts w:eastAsia="Times New Roman" w:cstheme="minorHAnsi"/>
          <w:b/>
          <w:bCs/>
          <w:i/>
          <w:iCs/>
          <w:color w:val="000000"/>
        </w:rPr>
        <w:t xml:space="preserve">, </w:t>
      </w:r>
      <w:r>
        <w:rPr>
          <w:rFonts w:eastAsia="Times New Roman" w:cstheme="minorHAnsi"/>
          <w:color w:val="000000"/>
        </w:rPr>
        <w:t xml:space="preserve">a plan to reopen the state’s economy. This five-phased plan sought to use public health data to reopen the state which was divided into four regions.  </w:t>
      </w:r>
    </w:p>
    <w:p w14:paraId="12FB4558" w14:textId="77777777" w:rsidR="009E627C" w:rsidRDefault="009E627C" w:rsidP="00C71DE1">
      <w:pPr>
        <w:spacing w:before="240" w:after="240" w:line="240" w:lineRule="auto"/>
      </w:pPr>
      <w:r>
        <w:t>The five phases for each health region are as follows:</w:t>
      </w:r>
    </w:p>
    <w:p w14:paraId="027B64BA" w14:textId="77777777" w:rsidR="009E627C" w:rsidRDefault="009E627C" w:rsidP="00C71DE1">
      <w:pPr>
        <w:spacing w:before="240" w:after="240" w:line="240" w:lineRule="auto"/>
      </w:pPr>
      <w:r w:rsidRPr="009E627C">
        <w:rPr>
          <w:b/>
          <w:bCs/>
        </w:rPr>
        <w:t>Phase 1</w:t>
      </w:r>
      <w:r>
        <w:t xml:space="preserve"> – Rapid Spread: The rate of infection among those tested and the number of patients admitted to the hospital is high or rapidly increasing. Strict stay at home and social distancing guidelines are put in place and only essential businesses remain open. Every region has experienced this phase once </w:t>
      </w:r>
      <w:r>
        <w:t>already and</w:t>
      </w:r>
      <w:r>
        <w:t xml:space="preserve"> could return to it if mitigation efforts are unsuccessful. </w:t>
      </w:r>
    </w:p>
    <w:p w14:paraId="472ABB93" w14:textId="77777777" w:rsidR="009E627C" w:rsidRDefault="009E627C" w:rsidP="00C71DE1">
      <w:pPr>
        <w:spacing w:before="240" w:after="240" w:line="240" w:lineRule="auto"/>
      </w:pPr>
      <w:r w:rsidRPr="009E627C">
        <w:rPr>
          <w:b/>
          <w:bCs/>
        </w:rPr>
        <w:t>Phase 2</w:t>
      </w:r>
      <w:r>
        <w:t xml:space="preserve"> – Flattening: The rate of infection among those tested and the number of patients admitted to the hospital beds and ICU beds increases at an </w:t>
      </w:r>
      <w:r>
        <w:t>ever-slower</w:t>
      </w:r>
      <w:r>
        <w:t xml:space="preserve"> rate, moving toward a flat and even a downward trajectory. Nonessential retail stores reopen for curb-side pickup and delivery. Illinoisans are directed to wear a face covering when outside the home and can begin enjoying additional outdoor activities like golf, boating and fishing while practicing social distancing. To varying degrees, every region is experiencing flattening as of early May. </w:t>
      </w:r>
    </w:p>
    <w:p w14:paraId="39F63558" w14:textId="77777777" w:rsidR="009E627C" w:rsidRDefault="009E627C" w:rsidP="00C71DE1">
      <w:pPr>
        <w:spacing w:before="240" w:after="240" w:line="240" w:lineRule="auto"/>
      </w:pPr>
      <w:r w:rsidRPr="009E627C">
        <w:rPr>
          <w:b/>
          <w:bCs/>
        </w:rPr>
        <w:t>Phase 3</w:t>
      </w:r>
      <w:r>
        <w:t xml:space="preserve"> – Recovery: The rate of infection among those surveillance tested, the number of patients admitted to the hospital, and the number of patients needing ICU beds is stable or declining. Manufacturing, offices, retail, barbershops and salons can reopen to the public with capacity and other limits and safety precautions. Gatherings limited to 10 people or fewer are allowed. Face coverings and social distancing are the norm. </w:t>
      </w:r>
    </w:p>
    <w:p w14:paraId="206DFB25" w14:textId="77777777" w:rsidR="009E627C" w:rsidRDefault="009E627C" w:rsidP="00C71DE1">
      <w:pPr>
        <w:spacing w:before="240" w:after="240" w:line="240" w:lineRule="auto"/>
      </w:pPr>
      <w:r w:rsidRPr="009E627C">
        <w:rPr>
          <w:b/>
          <w:bCs/>
        </w:rPr>
        <w:t>Phase 4</w:t>
      </w:r>
      <w:r>
        <w:t xml:space="preserve"> – Revitalization: The rate of infection among those surveillance </w:t>
      </w:r>
      <w:r>
        <w:t>tested,</w:t>
      </w:r>
      <w:r>
        <w:t xml:space="preserve"> and the number of patients admitted to the hospital continues to decline. Gatherings of 50 people or fewer are allowed, restaurants and bars reopen, travel resumes, </w:t>
      </w:r>
      <w:r>
        <w:t>childcare</w:t>
      </w:r>
      <w:r>
        <w:t xml:space="preserve"> and schools reopen under guidance from the Illinois Department of Public Health. Face coverings and social distancing are the norm. </w:t>
      </w:r>
    </w:p>
    <w:p w14:paraId="164B63EA" w14:textId="77777777" w:rsidR="009E627C" w:rsidRDefault="009E627C" w:rsidP="00C71DE1">
      <w:pPr>
        <w:spacing w:before="240" w:after="240" w:line="240" w:lineRule="auto"/>
      </w:pPr>
      <w:r w:rsidRPr="009E627C">
        <w:rPr>
          <w:b/>
          <w:bCs/>
        </w:rPr>
        <w:t>Phase 5</w:t>
      </w:r>
      <w:r>
        <w:t xml:space="preserve"> – Illinois Restored: With a vaccine or highly effective treatment widely available or the elimination of any new cases over a sustained period, the economy fully reopens with safety precautions continuing. Conventions, festivals and large events are permitted, and all businesses, schools and places of recreation can open with new safety guidance and procedures in place reflecting the lessons learned during the COVID-19 pandemic. </w:t>
      </w:r>
    </w:p>
    <w:p w14:paraId="778CB669" w14:textId="36487F60" w:rsidR="00F67BCF" w:rsidRDefault="009E627C" w:rsidP="00C71DE1">
      <w:pPr>
        <w:spacing w:before="240" w:after="240" w:line="240" w:lineRule="auto"/>
        <w:rPr>
          <w:rFonts w:eastAsia="Times New Roman" w:cstheme="minorHAnsi"/>
          <w:color w:val="000000"/>
        </w:rPr>
      </w:pPr>
      <w:r>
        <w:t>Until COVID-19 is defeated, this plan also recognizes that just as health metrics will tell us it is safe to move forward, health metrics may also tell us to return to a prior phase. With a vaccine or highly effective treatment not yet available, IDPH will be closely monitoring key metrics to immediately identify trends in cases and hospitalizations to determine whether a return to a prior phase may become necessary.</w:t>
      </w:r>
    </w:p>
    <w:p w14:paraId="4ECFB014" w14:textId="77777777" w:rsidR="009E627C" w:rsidRDefault="009E627C" w:rsidP="00C71DE1">
      <w:pPr>
        <w:spacing w:before="240" w:after="240" w:line="240" w:lineRule="auto"/>
        <w:rPr>
          <w:rFonts w:eastAsia="Times New Roman" w:cstheme="minorHAnsi"/>
          <w:color w:val="000000"/>
        </w:rPr>
      </w:pPr>
    </w:p>
    <w:p w14:paraId="521DAA8E" w14:textId="77777777" w:rsidR="009E627C" w:rsidRDefault="009E627C" w:rsidP="00C71DE1">
      <w:pPr>
        <w:spacing w:before="240" w:after="240" w:line="240" w:lineRule="auto"/>
        <w:rPr>
          <w:rFonts w:eastAsia="Times New Roman" w:cstheme="minorHAnsi"/>
          <w:color w:val="000000"/>
        </w:rPr>
      </w:pPr>
    </w:p>
    <w:p w14:paraId="3DDF36A4" w14:textId="77777777" w:rsidR="009E627C" w:rsidRDefault="009E627C" w:rsidP="00C71DE1">
      <w:pPr>
        <w:spacing w:before="240" w:after="240" w:line="240" w:lineRule="auto"/>
        <w:rPr>
          <w:rFonts w:eastAsia="Times New Roman" w:cstheme="minorHAnsi"/>
          <w:color w:val="000000"/>
        </w:rPr>
      </w:pPr>
    </w:p>
    <w:p w14:paraId="38974C0F" w14:textId="5724E7D8" w:rsidR="00C71DE1" w:rsidRDefault="00C71DE1" w:rsidP="00C71DE1">
      <w:pPr>
        <w:spacing w:before="240" w:after="240" w:line="240" w:lineRule="auto"/>
        <w:rPr>
          <w:rFonts w:eastAsia="Times New Roman" w:cstheme="minorHAnsi"/>
          <w:color w:val="000000"/>
        </w:rPr>
      </w:pPr>
      <w:r w:rsidRPr="00C71DE1">
        <w:rPr>
          <w:rFonts w:eastAsia="Times New Roman" w:cstheme="minorHAnsi"/>
          <w:color w:val="000000"/>
        </w:rPr>
        <w:lastRenderedPageBreak/>
        <w:t xml:space="preserve">The following bills </w:t>
      </w:r>
      <w:r w:rsidRPr="00C71DE1">
        <w:rPr>
          <w:rFonts w:eastAsia="Times New Roman" w:cstheme="minorHAnsi"/>
          <w:b/>
          <w:bCs/>
          <w:color w:val="000000"/>
        </w:rPr>
        <w:t>passed</w:t>
      </w:r>
      <w:r w:rsidRPr="00C71DE1">
        <w:rPr>
          <w:rFonts w:eastAsia="Times New Roman" w:cstheme="minorHAnsi"/>
          <w:color w:val="000000"/>
        </w:rPr>
        <w:t xml:space="preserve"> and will be </w:t>
      </w:r>
      <w:r w:rsidRPr="00C71DE1">
        <w:rPr>
          <w:rFonts w:eastAsia="Times New Roman" w:cstheme="minorHAnsi"/>
          <w:b/>
          <w:bCs/>
          <w:color w:val="000000"/>
        </w:rPr>
        <w:t>sent to the Governor</w:t>
      </w:r>
      <w:r w:rsidRPr="00C71DE1">
        <w:rPr>
          <w:rFonts w:eastAsia="Times New Roman" w:cstheme="minorHAnsi"/>
          <w:color w:val="000000"/>
        </w:rPr>
        <w:t>:</w:t>
      </w:r>
    </w:p>
    <w:p w14:paraId="19E714E2" w14:textId="65931BC9" w:rsidR="00F67BCF" w:rsidRPr="00F67BCF" w:rsidRDefault="00F67BCF" w:rsidP="00C71DE1">
      <w:pPr>
        <w:spacing w:before="240" w:after="240" w:line="240" w:lineRule="auto"/>
        <w:rPr>
          <w:rFonts w:eastAsia="Times New Roman" w:cstheme="minorHAnsi"/>
          <w:b/>
          <w:bCs/>
          <w:i/>
          <w:iCs/>
          <w:u w:val="single"/>
        </w:rPr>
      </w:pPr>
      <w:bookmarkStart w:id="2" w:name="_Hlk41394011"/>
      <w:r w:rsidRPr="00F67BCF">
        <w:rPr>
          <w:rFonts w:eastAsia="Times New Roman" w:cstheme="minorHAnsi"/>
          <w:b/>
          <w:bCs/>
          <w:i/>
          <w:iCs/>
          <w:color w:val="000000"/>
          <w:u w:val="single"/>
        </w:rPr>
        <w:t>Insurance Related Bills</w:t>
      </w:r>
    </w:p>
    <w:p w14:paraId="791C8B96" w14:textId="71A68C0A" w:rsidR="00536592" w:rsidRDefault="00536592" w:rsidP="00536592">
      <w:pPr>
        <w:spacing w:before="140" w:after="140" w:line="240" w:lineRule="auto"/>
        <w:rPr>
          <w:rFonts w:eastAsia="Times New Roman" w:cstheme="minorHAnsi"/>
          <w:color w:val="000000"/>
        </w:rPr>
      </w:pPr>
      <w:r>
        <w:rPr>
          <w:rFonts w:eastAsia="Times New Roman" w:cstheme="minorHAnsi"/>
          <w:b/>
          <w:bCs/>
          <w:color w:val="000000"/>
        </w:rPr>
        <w:t>Workers’ Compensation and Unemployment Insurance</w:t>
      </w:r>
      <w:r w:rsidRPr="002A2A96">
        <w:rPr>
          <w:rFonts w:eastAsia="Times New Roman" w:cstheme="minorHAnsi"/>
          <w:color w:val="000000"/>
        </w:rPr>
        <w:t xml:space="preserve">: </w:t>
      </w:r>
    </w:p>
    <w:p w14:paraId="1D5757CB" w14:textId="36808F83" w:rsidR="00536592" w:rsidRDefault="00536592" w:rsidP="00536592">
      <w:pPr>
        <w:spacing w:before="140" w:after="140" w:line="240" w:lineRule="auto"/>
        <w:rPr>
          <w:rFonts w:eastAsia="Times New Roman" w:cstheme="minorHAnsi"/>
          <w:color w:val="000000"/>
        </w:rPr>
      </w:pPr>
      <w:bookmarkStart w:id="3" w:name="_Hlk41400546"/>
      <w:r>
        <w:rPr>
          <w:rFonts w:eastAsia="Times New Roman" w:cstheme="minorHAnsi"/>
          <w:color w:val="000000"/>
        </w:rPr>
        <w:t>During the second week of April, Governor Pritzker and the Illinois Workers’ Compensation Commission filed emergency rules creating an automatic presumption that the workplace was the cause of an employee’s COVID-19 infection. These rules made it nearly impossible for an employer to defend these workers’ compensation claims. As such the IIA of IL joined the litigation efforts with several insurance and employer groups including the Illinois Manufacturers’ Association and the Illinois Retail Merchants Association. A Sangamon County judge issued a Temporary Restraining Order to block the rules and they were subsequently withdrawn. This withdrawal put more pressure on the General Assembly to enact legislation on the issue.</w:t>
      </w:r>
    </w:p>
    <w:p w14:paraId="146E33C6" w14:textId="77777777" w:rsidR="00536592" w:rsidRDefault="00536592" w:rsidP="003C0443">
      <w:pPr>
        <w:spacing w:before="140" w:after="140" w:line="240" w:lineRule="auto"/>
        <w:rPr>
          <w:rFonts w:eastAsia="Times New Roman" w:cstheme="minorHAnsi"/>
          <w:color w:val="000000"/>
        </w:rPr>
      </w:pPr>
      <w:r>
        <w:t xml:space="preserve">As such, </w:t>
      </w:r>
      <w:hyperlink r:id="rId7" w:history="1">
        <w:r w:rsidRPr="003D276F">
          <w:rPr>
            <w:rStyle w:val="Hyperlink"/>
          </w:rPr>
          <w:t>HB 2455</w:t>
        </w:r>
      </w:hyperlink>
      <w:r>
        <w:t xml:space="preserve"> </w:t>
      </w:r>
      <w:r w:rsidRPr="00F67790">
        <w:rPr>
          <w:rFonts w:eastAsia="Times New Roman" w:cstheme="minorHAnsi"/>
          <w:b/>
          <w:bCs/>
          <w:color w:val="000000"/>
        </w:rPr>
        <w:t>(Hoffman/Holmes)</w:t>
      </w:r>
      <w:r w:rsidRPr="002A2A96">
        <w:rPr>
          <w:rFonts w:eastAsia="Times New Roman" w:cstheme="minorHAnsi"/>
          <w:color w:val="000000"/>
        </w:rPr>
        <w:t xml:space="preserve"> </w:t>
      </w:r>
      <w:r>
        <w:rPr>
          <w:rFonts w:eastAsia="Times New Roman" w:cstheme="minorHAnsi"/>
          <w:color w:val="000000"/>
        </w:rPr>
        <w:t xml:space="preserve">passed the General Assembly over the weekend and </w:t>
      </w:r>
      <w:r w:rsidRPr="002A2A96">
        <w:rPr>
          <w:rFonts w:eastAsia="Times New Roman" w:cstheme="minorHAnsi"/>
          <w:color w:val="000000"/>
        </w:rPr>
        <w:t xml:space="preserve">represents </w:t>
      </w:r>
      <w:r>
        <w:rPr>
          <w:rFonts w:eastAsia="Times New Roman" w:cstheme="minorHAnsi"/>
          <w:color w:val="000000"/>
        </w:rPr>
        <w:t>the</w:t>
      </w:r>
      <w:r w:rsidRPr="002A2A96">
        <w:rPr>
          <w:rFonts w:eastAsia="Times New Roman" w:cstheme="minorHAnsi"/>
          <w:color w:val="000000"/>
        </w:rPr>
        <w:t xml:space="preserve"> agreement between labor and business on changes to the worker’s compensation and unemployment insurance programs.  </w:t>
      </w:r>
      <w:r>
        <w:rPr>
          <w:rFonts w:eastAsia="Times New Roman" w:cstheme="minorHAnsi"/>
          <w:color w:val="000000"/>
        </w:rPr>
        <w:t xml:space="preserve">All essential workers designated in the Governor’s Executive Order 2020-10 will still get the presumption while allowing employers to use only an ordinary level of evidence (lowest level) to rebut these claims. An employer simply </w:t>
      </w:r>
      <w:proofErr w:type="gramStart"/>
      <w:r>
        <w:rPr>
          <w:rFonts w:eastAsia="Times New Roman" w:cstheme="minorHAnsi"/>
          <w:color w:val="000000"/>
        </w:rPr>
        <w:t>has to</w:t>
      </w:r>
      <w:proofErr w:type="gramEnd"/>
      <w:r>
        <w:rPr>
          <w:rFonts w:eastAsia="Times New Roman" w:cstheme="minorHAnsi"/>
          <w:color w:val="000000"/>
        </w:rPr>
        <w:t xml:space="preserve"> show “some evidence” that the employer could have contracted the virus elsewhere or that the employer followed guidance from the Centers for Disease Control and Prevention or the Illinois Department of Public Health.</w:t>
      </w:r>
    </w:p>
    <w:p w14:paraId="54C18FE4" w14:textId="28F6CD69" w:rsidR="00536592" w:rsidRDefault="00536592" w:rsidP="003C0443">
      <w:pPr>
        <w:spacing w:before="140" w:after="140" w:line="240" w:lineRule="auto"/>
        <w:rPr>
          <w:rFonts w:eastAsia="Times New Roman" w:cstheme="minorHAnsi"/>
          <w:color w:val="000000"/>
        </w:rPr>
      </w:pPr>
      <w:r>
        <w:rPr>
          <w:rFonts w:eastAsia="Times New Roman" w:cstheme="minorHAnsi"/>
          <w:color w:val="000000"/>
        </w:rPr>
        <w:t xml:space="preserve">Also included in the bill, an employer’s experience modification </w:t>
      </w:r>
      <w:r w:rsidRPr="00E13820">
        <w:rPr>
          <w:rFonts w:eastAsia="Times New Roman" w:cstheme="minorHAnsi"/>
          <w:b/>
          <w:bCs/>
          <w:color w:val="000000"/>
          <w:u w:val="single"/>
        </w:rPr>
        <w:t>will not change</w:t>
      </w:r>
      <w:r>
        <w:rPr>
          <w:rFonts w:eastAsia="Times New Roman" w:cstheme="minorHAnsi"/>
          <w:color w:val="000000"/>
        </w:rPr>
        <w:t xml:space="preserve"> as a result of COVID-19 claims and the legislation specifically provides that an employee’s home or residence is not a workplace. Employees must have a positive laborat</w:t>
      </w:r>
      <w:r w:rsidR="00816F4A">
        <w:rPr>
          <w:rFonts w:eastAsia="Times New Roman" w:cstheme="minorHAnsi"/>
          <w:color w:val="000000"/>
        </w:rPr>
        <w:t>ory test (or medical diagnosis before June 15</w:t>
      </w:r>
      <w:r w:rsidR="00816F4A" w:rsidRPr="00816F4A">
        <w:rPr>
          <w:rFonts w:eastAsia="Times New Roman" w:cstheme="minorHAnsi"/>
          <w:color w:val="000000"/>
          <w:vertAlign w:val="superscript"/>
        </w:rPr>
        <w:t>th</w:t>
      </w:r>
      <w:r w:rsidR="00816F4A">
        <w:rPr>
          <w:rFonts w:eastAsia="Times New Roman" w:cstheme="minorHAnsi"/>
          <w:color w:val="000000"/>
        </w:rPr>
        <w:t xml:space="preserve">). </w:t>
      </w:r>
      <w:r w:rsidRPr="002A2A96">
        <w:rPr>
          <w:rFonts w:eastAsia="Times New Roman" w:cstheme="minorHAnsi"/>
          <w:color w:val="000000"/>
        </w:rPr>
        <w:t xml:space="preserve">  </w:t>
      </w:r>
    </w:p>
    <w:p w14:paraId="4949C2CA" w14:textId="1F32F715" w:rsidR="00536592" w:rsidRPr="00536592" w:rsidRDefault="00536592" w:rsidP="003C0443">
      <w:pPr>
        <w:spacing w:before="140" w:after="140" w:line="240" w:lineRule="auto"/>
      </w:pPr>
      <w:r>
        <w:t>The bill also ensures Illinois continues to qualify for federal funding by extending unemployment benefits, waiving a one-week unemployment insurance waiting period and expanding eligibility for unemployment to non-instructional education employees.</w:t>
      </w:r>
    </w:p>
    <w:bookmarkEnd w:id="3"/>
    <w:p w14:paraId="767B422C" w14:textId="77777777" w:rsidR="00536592" w:rsidRDefault="00536592" w:rsidP="003C0443">
      <w:pPr>
        <w:spacing w:before="140" w:after="140" w:line="240" w:lineRule="auto"/>
        <w:rPr>
          <w:rFonts w:eastAsia="Times New Roman" w:cstheme="minorHAnsi"/>
          <w:b/>
          <w:bCs/>
          <w:color w:val="000000"/>
        </w:rPr>
      </w:pPr>
    </w:p>
    <w:p w14:paraId="76B74A6F" w14:textId="1BBE8183" w:rsidR="00923FAA" w:rsidRDefault="003C0443" w:rsidP="003C0443">
      <w:pPr>
        <w:spacing w:before="140" w:after="140" w:line="240" w:lineRule="auto"/>
        <w:rPr>
          <w:rFonts w:eastAsia="Times New Roman" w:cstheme="minorHAnsi"/>
          <w:color w:val="000000"/>
        </w:rPr>
      </w:pPr>
      <w:r w:rsidRPr="00CD1897">
        <w:rPr>
          <w:rFonts w:eastAsia="Times New Roman" w:cstheme="minorHAnsi"/>
          <w:b/>
          <w:bCs/>
          <w:color w:val="000000"/>
        </w:rPr>
        <w:t>Healthcare Omnibus:</w:t>
      </w:r>
      <w:r w:rsidRPr="002A2A96">
        <w:rPr>
          <w:rFonts w:eastAsia="Times New Roman" w:cstheme="minorHAnsi"/>
          <w:color w:val="000000"/>
        </w:rPr>
        <w:t xml:space="preserve">  </w:t>
      </w:r>
      <w:hyperlink r:id="rId8" w:history="1">
        <w:r w:rsidR="002563D2" w:rsidRPr="002563D2">
          <w:rPr>
            <w:rStyle w:val="Hyperlink"/>
          </w:rPr>
          <w:t>SB 1864</w:t>
        </w:r>
      </w:hyperlink>
      <w:r w:rsidR="002563D2">
        <w:t xml:space="preserve"> </w:t>
      </w:r>
      <w:r w:rsidRPr="00F67790">
        <w:rPr>
          <w:rFonts w:eastAsia="Times New Roman" w:cstheme="minorHAnsi"/>
          <w:b/>
          <w:bCs/>
          <w:color w:val="000000"/>
        </w:rPr>
        <w:t>(Link/Harris)</w:t>
      </w:r>
      <w:r>
        <w:rPr>
          <w:rFonts w:eastAsia="Times New Roman" w:cstheme="minorHAnsi"/>
          <w:color w:val="000000"/>
        </w:rPr>
        <w:t xml:space="preserve"> is an omnibus healthcare bill that contains the products of the healthcare and Medicaid working groups</w:t>
      </w:r>
      <w:r w:rsidR="00923FAA">
        <w:rPr>
          <w:rFonts w:eastAsia="Times New Roman" w:cstheme="minorHAnsi"/>
          <w:color w:val="000000"/>
        </w:rPr>
        <w:t>. Proposals to codify and extend Governor Pritzker’s Executive Order, which directs insurers to cover telehealth, through the end of the calendar year did not pass both chambers and were not included in the final bill.</w:t>
      </w:r>
      <w:r w:rsidR="009B6911">
        <w:rPr>
          <w:rFonts w:eastAsia="Times New Roman" w:cstheme="minorHAnsi"/>
          <w:color w:val="000000"/>
        </w:rPr>
        <w:t xml:space="preserve"> The telehealth measure will be worked through further this summer with providers, insurers, and other stakeholders including ourselves on the matter.</w:t>
      </w:r>
    </w:p>
    <w:p w14:paraId="04424F61" w14:textId="283A7297" w:rsidR="009B6911" w:rsidRDefault="00923FAA" w:rsidP="003C0443">
      <w:pPr>
        <w:spacing w:before="140" w:after="140" w:line="240" w:lineRule="auto"/>
        <w:rPr>
          <w:rFonts w:eastAsia="Times New Roman" w:cstheme="minorHAnsi"/>
          <w:color w:val="000000"/>
        </w:rPr>
      </w:pPr>
      <w:r>
        <w:rPr>
          <w:rFonts w:eastAsia="Times New Roman" w:cstheme="minorHAnsi"/>
          <w:color w:val="000000"/>
        </w:rPr>
        <w:t xml:space="preserve">The bill does create a feasibility study to </w:t>
      </w:r>
      <w:r w:rsidR="00DC2FDC">
        <w:rPr>
          <w:rFonts w:eastAsia="Times New Roman" w:cstheme="minorHAnsi"/>
          <w:color w:val="000000"/>
        </w:rPr>
        <w:t>explore options to make health insurance more affordable for low-income and middle-income residents. The study will include policies targeted at increasing healthcare affordability and access, including policies being discussed in other states and nationally.</w:t>
      </w:r>
      <w:r w:rsidR="009B6911">
        <w:rPr>
          <w:rFonts w:eastAsia="Times New Roman" w:cstheme="minorHAnsi"/>
          <w:color w:val="000000"/>
        </w:rPr>
        <w:t xml:space="preserve"> The study will create a “best practice” from other states and include an Illinois-specific actuarial and economic analysis of demographics and market dynamics.</w:t>
      </w:r>
      <w:r>
        <w:rPr>
          <w:rFonts w:eastAsia="Times New Roman" w:cstheme="minorHAnsi"/>
          <w:color w:val="000000"/>
        </w:rPr>
        <w:t xml:space="preserve"> The report would be due by </w:t>
      </w:r>
      <w:r w:rsidR="00DC2FDC">
        <w:rPr>
          <w:rFonts w:eastAsia="Times New Roman" w:cstheme="minorHAnsi"/>
          <w:color w:val="000000"/>
        </w:rPr>
        <w:t>the end of February</w:t>
      </w:r>
      <w:r w:rsidR="009B6911">
        <w:rPr>
          <w:rFonts w:eastAsia="Times New Roman" w:cstheme="minorHAnsi"/>
          <w:color w:val="000000"/>
        </w:rPr>
        <w:t xml:space="preserve"> to the General Assembly and the Governor concerning design, costs, benefits, and implementation of State options.</w:t>
      </w:r>
    </w:p>
    <w:p w14:paraId="3FFC8B7C" w14:textId="5A9E7F6E" w:rsidR="00DC2FDC" w:rsidRDefault="00923FAA" w:rsidP="003C0443">
      <w:pPr>
        <w:spacing w:before="140" w:after="140" w:line="240" w:lineRule="auto"/>
        <w:rPr>
          <w:rFonts w:eastAsia="Times New Roman" w:cstheme="minorHAnsi"/>
          <w:color w:val="000000"/>
        </w:rPr>
      </w:pPr>
      <w:r>
        <w:rPr>
          <w:rFonts w:eastAsia="Times New Roman" w:cstheme="minorHAnsi"/>
          <w:color w:val="000000"/>
        </w:rPr>
        <w:t xml:space="preserve">It also allows </w:t>
      </w:r>
      <w:r w:rsidR="00DC2FDC">
        <w:rPr>
          <w:rFonts w:eastAsia="Times New Roman" w:cstheme="minorHAnsi"/>
          <w:color w:val="000000"/>
        </w:rPr>
        <w:t>the Department of Healthcare and Family Services to loosen some restrictions when determining Medicaid eligibility during the pandemic, such as suspending changes that would adversely affect an applicant’s eligibility and suspending redeterminations.</w:t>
      </w:r>
    </w:p>
    <w:p w14:paraId="41362653" w14:textId="77777777" w:rsidR="0082296D" w:rsidRPr="002A2A96" w:rsidRDefault="0082296D" w:rsidP="003C0443">
      <w:pPr>
        <w:spacing w:before="140" w:after="140" w:line="240" w:lineRule="auto"/>
        <w:rPr>
          <w:rFonts w:eastAsia="Times New Roman" w:cstheme="minorHAnsi"/>
          <w:color w:val="000000"/>
        </w:rPr>
      </w:pPr>
    </w:p>
    <w:p w14:paraId="5211055B" w14:textId="1FA25EB1" w:rsidR="003C0443" w:rsidRDefault="003C0443" w:rsidP="003C0443">
      <w:pPr>
        <w:spacing w:before="140" w:after="140" w:line="240" w:lineRule="auto"/>
        <w:rPr>
          <w:rFonts w:cstheme="minorHAnsi"/>
          <w:color w:val="000000"/>
        </w:rPr>
      </w:pPr>
      <w:r w:rsidRPr="00CD1897">
        <w:rPr>
          <w:rFonts w:eastAsia="Times New Roman" w:cstheme="minorHAnsi"/>
          <w:b/>
          <w:bCs/>
          <w:color w:val="000000"/>
        </w:rPr>
        <w:t>Governmental Omnibus</w:t>
      </w:r>
      <w:r w:rsidRPr="00CD1897">
        <w:rPr>
          <w:rFonts w:eastAsia="Times New Roman" w:cstheme="minorHAnsi"/>
          <w:color w:val="000000"/>
        </w:rPr>
        <w:t xml:space="preserve">: </w:t>
      </w:r>
      <w:hyperlink r:id="rId9" w:history="1">
        <w:r w:rsidR="00E4073A" w:rsidRPr="00E4073A">
          <w:rPr>
            <w:rStyle w:val="Hyperlink"/>
          </w:rPr>
          <w:t>SB 2135</w:t>
        </w:r>
      </w:hyperlink>
      <w:r w:rsidR="00E4073A">
        <w:t xml:space="preserve"> </w:t>
      </w:r>
      <w:r w:rsidRPr="00F67790">
        <w:rPr>
          <w:rFonts w:eastAsia="Times New Roman" w:cstheme="minorHAnsi"/>
          <w:b/>
          <w:bCs/>
          <w:color w:val="000000"/>
        </w:rPr>
        <w:t>(Link/Burke)</w:t>
      </w:r>
      <w:r>
        <w:rPr>
          <w:rFonts w:eastAsia="Times New Roman" w:cstheme="minorHAnsi"/>
          <w:color w:val="000000"/>
        </w:rPr>
        <w:t xml:space="preserve"> </w:t>
      </w:r>
      <w:r w:rsidRPr="00CD1897">
        <w:rPr>
          <w:rFonts w:cstheme="minorHAnsi"/>
          <w:color w:val="000000"/>
        </w:rPr>
        <w:t xml:space="preserve">is an omnibus bill that makes several governmental changes.  </w:t>
      </w:r>
      <w:r>
        <w:rPr>
          <w:rFonts w:cstheme="minorHAnsi"/>
          <w:color w:val="000000"/>
        </w:rPr>
        <w:t>Codifies provisions of the Governor’s Executive Orders</w:t>
      </w:r>
      <w:r w:rsidRPr="00CD1897">
        <w:rPr>
          <w:rFonts w:cstheme="minorHAnsi"/>
          <w:color w:val="000000"/>
        </w:rPr>
        <w:t xml:space="preserve"> involving open meetings exemptions, Secretary of State deadline extensions, and notaries. </w:t>
      </w:r>
      <w:r>
        <w:rPr>
          <w:rFonts w:cstheme="minorHAnsi"/>
          <w:color w:val="000000"/>
        </w:rPr>
        <w:t xml:space="preserve"> Creates</w:t>
      </w:r>
      <w:r w:rsidRPr="00CD1897">
        <w:rPr>
          <w:rFonts w:cstheme="minorHAnsi"/>
          <w:color w:val="000000"/>
        </w:rPr>
        <w:t xml:space="preserve"> the Restore Illinois Collaborative Commission to monitor actions taken by the Governor with regard to the Restore Illinois plan and to keep members of the General Assembly informed of those actions and any need for further legislative action. Directs the Broadband Advisory Council to study the provision of </w:t>
      </w:r>
      <w:r>
        <w:rPr>
          <w:rFonts w:cstheme="minorHAnsi"/>
          <w:color w:val="000000"/>
        </w:rPr>
        <w:t xml:space="preserve">free </w:t>
      </w:r>
      <w:r w:rsidRPr="00CD1897">
        <w:rPr>
          <w:rFonts w:cstheme="minorHAnsi"/>
          <w:color w:val="000000"/>
        </w:rPr>
        <w:t>access to broadband services. Requires the Department of Insurance to appoint a task force on business interruption insurance policies to study the impacts of the COVID-19 pandemic on businesses and the need for changes to business interruption insurance policies based on those impacts, including recommendations for legislation</w:t>
      </w:r>
      <w:r>
        <w:rPr>
          <w:rFonts w:cstheme="minorHAnsi"/>
          <w:color w:val="000000"/>
        </w:rPr>
        <w:t>.</w:t>
      </w:r>
    </w:p>
    <w:bookmarkEnd w:id="2"/>
    <w:p w14:paraId="2D0050B2" w14:textId="77777777" w:rsidR="009E627C" w:rsidRDefault="009E627C" w:rsidP="003C0443">
      <w:pPr>
        <w:spacing w:before="140" w:after="140" w:line="240" w:lineRule="auto"/>
        <w:rPr>
          <w:rFonts w:eastAsia="Times New Roman" w:cstheme="minorHAnsi"/>
          <w:b/>
          <w:bCs/>
          <w:i/>
          <w:iCs/>
          <w:color w:val="000000"/>
          <w:u w:val="single"/>
        </w:rPr>
      </w:pPr>
    </w:p>
    <w:p w14:paraId="223666C2" w14:textId="379D9E50" w:rsidR="003B77E6" w:rsidRPr="003B77E6" w:rsidRDefault="003C0443" w:rsidP="003C0443">
      <w:pPr>
        <w:spacing w:before="140" w:after="140" w:line="240" w:lineRule="auto"/>
        <w:rPr>
          <w:rFonts w:eastAsia="Times New Roman" w:cstheme="minorHAnsi"/>
          <w:b/>
          <w:bCs/>
          <w:i/>
          <w:iCs/>
          <w:color w:val="000000"/>
          <w:u w:val="single"/>
        </w:rPr>
      </w:pPr>
      <w:r w:rsidRPr="003B77E6">
        <w:rPr>
          <w:rFonts w:eastAsia="Times New Roman" w:cstheme="minorHAnsi"/>
          <w:b/>
          <w:bCs/>
          <w:i/>
          <w:iCs/>
          <w:color w:val="000000"/>
          <w:u w:val="single"/>
        </w:rPr>
        <w:t>Graduated Income Tax</w:t>
      </w:r>
    </w:p>
    <w:p w14:paraId="13B7FB46" w14:textId="73F3804D" w:rsidR="003B77E6" w:rsidRDefault="003B77E6" w:rsidP="003C0443">
      <w:pPr>
        <w:spacing w:before="140" w:after="140" w:line="240" w:lineRule="auto"/>
      </w:pPr>
      <w:r>
        <w:t xml:space="preserve">Last spring, Democrats in the General Assembly pushed through the crown jewel of Governor JB Pritzker’s agenda – a graduated income tax that will raise taxes by $3.5 billion. Sponsored by Senate President Don Harmon and Senator Robert Martwick (formerly a member of the House), </w:t>
      </w:r>
      <w:hyperlink r:id="rId10" w:history="1">
        <w:r w:rsidRPr="003B77E6">
          <w:rPr>
            <w:rStyle w:val="Hyperlink"/>
          </w:rPr>
          <w:t>SJRCA 1</w:t>
        </w:r>
      </w:hyperlink>
      <w:r>
        <w:t xml:space="preserve"> amends the Constitution to eliminate the flat rate and abolish the current 8:5 ratio between the corporate and individual tax rates. Additionally, the General Assembly enacted legislation SB 687 (</w:t>
      </w:r>
      <w:hyperlink r:id="rId11" w:history="1">
        <w:r w:rsidRPr="003B77E6">
          <w:rPr>
            <w:rStyle w:val="Hyperlink"/>
          </w:rPr>
          <w:t>P.A. 101-0008</w:t>
        </w:r>
      </w:hyperlink>
      <w:r>
        <w:t>) creating the tax rates that will take effect should voters approve the graduated income tax in the November 2020 election. At the time, Governor Pritzker pledged that the income tax hike would result in significant property tax relief and created a task force to offer recommendations. The task force met but failed to offer changes resulting in real property tax relief and lawmakers did not address the issue in the 2020 spring legislative session. Democrat lawmakers in the House and Senate approved resolution</w:t>
      </w:r>
      <w:r w:rsidR="003D276F">
        <w:t xml:space="preserve">s, </w:t>
      </w:r>
      <w:hyperlink r:id="rId12" w:history="1">
        <w:r w:rsidR="003D276F" w:rsidRPr="003D276F">
          <w:rPr>
            <w:rStyle w:val="Hyperlink"/>
          </w:rPr>
          <w:t>HJR 124</w:t>
        </w:r>
      </w:hyperlink>
      <w:r w:rsidR="003D276F">
        <w:t xml:space="preserve"> and</w:t>
      </w:r>
      <w:r>
        <w:t xml:space="preserve"> </w:t>
      </w:r>
      <w:hyperlink r:id="rId13" w:history="1">
        <w:r w:rsidRPr="003B77E6">
          <w:rPr>
            <w:rStyle w:val="Hyperlink"/>
          </w:rPr>
          <w:t>SJR 1</w:t>
        </w:r>
      </w:hyperlink>
      <w:r>
        <w:t xml:space="preserve"> late this spring that set forth the arguments in favor and opposed to the graduated tax. Under Illinois law, the General Assembly is required to provide Illinoisans with a brief explanation of the proposed amendment, a brief argument in favor of the amendment, a brief argument in opposition to the amendment, and the form in which the question will appear on the ballot. </w:t>
      </w:r>
    </w:p>
    <w:p w14:paraId="788A986F" w14:textId="77777777" w:rsidR="003B77E6" w:rsidRDefault="003B77E6" w:rsidP="003C0443">
      <w:pPr>
        <w:spacing w:before="140" w:after="140" w:line="240" w:lineRule="auto"/>
      </w:pPr>
      <w:r>
        <w:t xml:space="preserve">Arguments for the graduated income tax include: </w:t>
      </w:r>
    </w:p>
    <w:p w14:paraId="456078B6" w14:textId="77777777" w:rsidR="003B77E6" w:rsidRDefault="003B77E6" w:rsidP="003B77E6">
      <w:pPr>
        <w:pStyle w:val="ListParagraph"/>
        <w:numPr>
          <w:ilvl w:val="0"/>
          <w:numId w:val="8"/>
        </w:numPr>
        <w:spacing w:before="140" w:after="140" w:line="240" w:lineRule="auto"/>
      </w:pPr>
      <w:r>
        <w:t>This amendment would make Illinois’ tax system fair.</w:t>
      </w:r>
    </w:p>
    <w:p w14:paraId="0652E604" w14:textId="77777777" w:rsidR="003B77E6" w:rsidRDefault="003B77E6" w:rsidP="003B77E6">
      <w:pPr>
        <w:pStyle w:val="ListParagraph"/>
        <w:numPr>
          <w:ilvl w:val="0"/>
          <w:numId w:val="8"/>
        </w:numPr>
        <w:spacing w:before="140" w:after="140" w:line="240" w:lineRule="auto"/>
      </w:pPr>
      <w:r>
        <w:t xml:space="preserve">The federal government and most states use the graduated tax system proposed in this amendment, not the unfair tax system currently used in Illinois. </w:t>
      </w:r>
    </w:p>
    <w:p w14:paraId="23726EFD" w14:textId="77777777" w:rsidR="003B77E6" w:rsidRDefault="003B77E6" w:rsidP="003C0443">
      <w:pPr>
        <w:pStyle w:val="ListParagraph"/>
        <w:numPr>
          <w:ilvl w:val="0"/>
          <w:numId w:val="8"/>
        </w:numPr>
        <w:spacing w:before="140" w:after="140" w:line="240" w:lineRule="auto"/>
      </w:pPr>
      <w:r>
        <w:t>Illinois’ current income tax system relies on taxes from middle- and lower-income earners, while a graduated system would lower the burden and fund critical programs such as education and human services.</w:t>
      </w:r>
    </w:p>
    <w:p w14:paraId="1CA6DA28" w14:textId="6481701D" w:rsidR="003B77E6" w:rsidRDefault="003B77E6" w:rsidP="003C0443">
      <w:pPr>
        <w:pStyle w:val="ListParagraph"/>
        <w:numPr>
          <w:ilvl w:val="0"/>
          <w:numId w:val="8"/>
        </w:numPr>
        <w:spacing w:before="140" w:after="140" w:line="240" w:lineRule="auto"/>
      </w:pPr>
      <w:r>
        <w:t>After the COVID-19 pandemic, we need to do all we can to help the economy and middle-class and working people.</w:t>
      </w:r>
    </w:p>
    <w:p w14:paraId="41D95604" w14:textId="77777777" w:rsidR="003B77E6" w:rsidRDefault="003B77E6" w:rsidP="003B77E6">
      <w:pPr>
        <w:spacing w:before="140" w:after="140" w:line="240" w:lineRule="auto"/>
      </w:pPr>
      <w:r>
        <w:t xml:space="preserve">Arguments against the graduated income tax include: </w:t>
      </w:r>
    </w:p>
    <w:p w14:paraId="59FF4BE8" w14:textId="77777777" w:rsidR="003B77E6" w:rsidRDefault="003B77E6" w:rsidP="003B77E6">
      <w:pPr>
        <w:pStyle w:val="ListParagraph"/>
        <w:numPr>
          <w:ilvl w:val="0"/>
          <w:numId w:val="9"/>
        </w:numPr>
        <w:spacing w:before="140" w:after="140" w:line="240" w:lineRule="auto"/>
      </w:pPr>
      <w:r>
        <w:t xml:space="preserve">This amendment gives the legislature power to increase taxes on any group of taxpayers with no limits and no accountability and without any requirement to use the additional revenue to fund essential needs such as healthcare, education, or public safety. </w:t>
      </w:r>
    </w:p>
    <w:p w14:paraId="520C9C05" w14:textId="77777777" w:rsidR="003B77E6" w:rsidRDefault="003B77E6" w:rsidP="003B77E6">
      <w:pPr>
        <w:pStyle w:val="ListParagraph"/>
        <w:numPr>
          <w:ilvl w:val="0"/>
          <w:numId w:val="9"/>
        </w:numPr>
        <w:spacing w:before="140" w:after="140" w:line="240" w:lineRule="auto"/>
      </w:pPr>
      <w:r>
        <w:t>Taxes and spending are out of control. The legislature should not be allowed to keep raising taxes until they get their spending under control.</w:t>
      </w:r>
    </w:p>
    <w:p w14:paraId="18D7B592" w14:textId="265D616E" w:rsidR="003B77E6" w:rsidRDefault="003B77E6" w:rsidP="003B77E6">
      <w:pPr>
        <w:pStyle w:val="ListParagraph"/>
        <w:numPr>
          <w:ilvl w:val="0"/>
          <w:numId w:val="9"/>
        </w:numPr>
        <w:spacing w:before="140" w:after="140" w:line="240" w:lineRule="auto"/>
      </w:pPr>
      <w:r>
        <w:t xml:space="preserve">In the wake of the COVID-19 pandemic, now is the worst possible time for a massive tax increase. </w:t>
      </w:r>
    </w:p>
    <w:p w14:paraId="54B6FAF3" w14:textId="676F860F" w:rsidR="003B77E6" w:rsidRPr="003B77E6" w:rsidRDefault="003B77E6" w:rsidP="003B77E6">
      <w:pPr>
        <w:pStyle w:val="ListParagraph"/>
        <w:numPr>
          <w:ilvl w:val="0"/>
          <w:numId w:val="9"/>
        </w:numPr>
        <w:spacing w:before="140" w:after="140" w:line="240" w:lineRule="auto"/>
      </w:pPr>
      <w:r>
        <w:lastRenderedPageBreak/>
        <w:t>Illinois voters will cast ballots in November with the opportunity to approve or reject the graduated income tax. Sixty percent of voters must approve for the Amendment to be ratified.</w:t>
      </w:r>
    </w:p>
    <w:p w14:paraId="6743767E" w14:textId="6E162AA5" w:rsidR="003D276F" w:rsidRPr="009F080C" w:rsidRDefault="003C0443" w:rsidP="009F080C">
      <w:pPr>
        <w:spacing w:before="140" w:after="140" w:line="240" w:lineRule="auto"/>
        <w:rPr>
          <w:rFonts w:eastAsia="Times New Roman" w:cstheme="minorHAnsi"/>
        </w:rPr>
      </w:pPr>
      <w:r w:rsidRPr="002A2A96">
        <w:rPr>
          <w:rFonts w:eastAsia="Times New Roman" w:cstheme="minorHAnsi"/>
          <w:color w:val="000000"/>
        </w:rPr>
        <w:t xml:space="preserve">The General Assembly is required to </w:t>
      </w:r>
      <w:r>
        <w:rPr>
          <w:rFonts w:eastAsia="Times New Roman" w:cstheme="minorHAnsi"/>
          <w:color w:val="000000"/>
        </w:rPr>
        <w:t xml:space="preserve">draft ballot language and </w:t>
      </w:r>
      <w:r w:rsidRPr="002A2A96">
        <w:rPr>
          <w:rFonts w:eastAsia="Times New Roman" w:cstheme="minorHAnsi"/>
          <w:color w:val="000000"/>
        </w:rPr>
        <w:t xml:space="preserve">arguments for and against constitutional amendment propositions to be placed on the General Election ballot.  </w:t>
      </w:r>
      <w:hyperlink r:id="rId14" w:history="1">
        <w:r>
          <w:rPr>
            <w:rStyle w:val="Hyperlink"/>
            <w:rFonts w:eastAsia="Times New Roman" w:cstheme="minorHAnsi"/>
          </w:rPr>
          <w:t>SJR1</w:t>
        </w:r>
      </w:hyperlink>
      <w:r>
        <w:rPr>
          <w:rFonts w:eastAsia="Times New Roman" w:cstheme="minorHAnsi"/>
          <w:color w:val="000000"/>
        </w:rPr>
        <w:t xml:space="preserve"> </w:t>
      </w:r>
      <w:r w:rsidRPr="00265E99">
        <w:rPr>
          <w:rFonts w:eastAsia="Times New Roman" w:cstheme="minorHAnsi"/>
          <w:b/>
          <w:bCs/>
        </w:rPr>
        <w:t>(Harmon/Madigan)</w:t>
      </w:r>
      <w:r>
        <w:rPr>
          <w:rFonts w:eastAsia="Times New Roman" w:cstheme="minorHAnsi"/>
        </w:rPr>
        <w:t xml:space="preserve"> </w:t>
      </w:r>
      <w:r w:rsidRPr="002A2A96">
        <w:rPr>
          <w:rFonts w:eastAsia="Times New Roman" w:cstheme="minorHAnsi"/>
          <w:color w:val="000000"/>
        </w:rPr>
        <w:t>creates the official ballot arguments for and against the graduated income tax constitutional amendment.</w:t>
      </w:r>
    </w:p>
    <w:p w14:paraId="12B6CF5D" w14:textId="2F54E78A" w:rsidR="0082296D" w:rsidRPr="0082296D" w:rsidRDefault="0082296D" w:rsidP="002A2A96">
      <w:pPr>
        <w:pStyle w:val="NormalWeb"/>
        <w:spacing w:before="240" w:beforeAutospacing="0" w:after="240" w:afterAutospacing="0"/>
        <w:rPr>
          <w:rFonts w:asciiTheme="minorHAnsi" w:hAnsiTheme="minorHAnsi" w:cstheme="minorHAnsi"/>
          <w:i/>
          <w:iCs/>
          <w:color w:val="000000"/>
          <w:sz w:val="22"/>
          <w:szCs w:val="22"/>
          <w:u w:val="single"/>
        </w:rPr>
      </w:pPr>
      <w:bookmarkStart w:id="4" w:name="_Hlk41394217"/>
      <w:r w:rsidRPr="0082296D">
        <w:rPr>
          <w:rFonts w:asciiTheme="minorHAnsi" w:hAnsiTheme="minorHAnsi" w:cstheme="minorHAnsi"/>
          <w:b/>
          <w:bCs/>
          <w:i/>
          <w:iCs/>
          <w:color w:val="000000"/>
          <w:sz w:val="22"/>
          <w:szCs w:val="22"/>
          <w:u w:val="single"/>
        </w:rPr>
        <w:t>Fiscal Year 2021 Budget</w:t>
      </w:r>
    </w:p>
    <w:p w14:paraId="023B6C81" w14:textId="63FA41AF" w:rsidR="00441389" w:rsidRDefault="00A65EB1" w:rsidP="002A2A96">
      <w:pPr>
        <w:pStyle w:val="NormalWeb"/>
        <w:spacing w:before="240" w:beforeAutospacing="0" w:after="240" w:afterAutospacing="0"/>
        <w:rPr>
          <w:rFonts w:asciiTheme="minorHAnsi" w:hAnsiTheme="minorHAnsi" w:cstheme="minorHAnsi"/>
          <w:color w:val="000000"/>
          <w:sz w:val="22"/>
          <w:szCs w:val="22"/>
        </w:rPr>
      </w:pPr>
      <w:r w:rsidRPr="002A2A96">
        <w:rPr>
          <w:rFonts w:asciiTheme="minorHAnsi" w:hAnsiTheme="minorHAnsi" w:cstheme="minorHAnsi"/>
          <w:color w:val="000000"/>
          <w:sz w:val="22"/>
          <w:szCs w:val="22"/>
        </w:rPr>
        <w:t xml:space="preserve">Crafting next fiscal year’s budget proved extremely challenging given the uncertainty caused by the global pandemic.  </w:t>
      </w:r>
      <w:r w:rsidR="0083200F">
        <w:rPr>
          <w:rFonts w:asciiTheme="minorHAnsi" w:hAnsiTheme="minorHAnsi" w:cstheme="minorHAnsi"/>
          <w:color w:val="000000"/>
          <w:sz w:val="22"/>
          <w:szCs w:val="22"/>
        </w:rPr>
        <w:t xml:space="preserve">In presenting the budget, Leader </w:t>
      </w:r>
      <w:r w:rsidR="00556CD5">
        <w:rPr>
          <w:rFonts w:asciiTheme="minorHAnsi" w:hAnsiTheme="minorHAnsi" w:cstheme="minorHAnsi"/>
          <w:color w:val="000000"/>
          <w:sz w:val="22"/>
          <w:szCs w:val="22"/>
        </w:rPr>
        <w:t xml:space="preserve">Greg </w:t>
      </w:r>
      <w:r w:rsidR="0083200F">
        <w:rPr>
          <w:rFonts w:asciiTheme="minorHAnsi" w:hAnsiTheme="minorHAnsi" w:cstheme="minorHAnsi"/>
          <w:color w:val="000000"/>
          <w:sz w:val="22"/>
          <w:szCs w:val="22"/>
        </w:rPr>
        <w:t xml:space="preserve">Harris said that the budget is a series of tough choices.  </w:t>
      </w:r>
      <w:r w:rsidRPr="002A2A96">
        <w:rPr>
          <w:rFonts w:asciiTheme="minorHAnsi" w:hAnsiTheme="minorHAnsi" w:cstheme="minorHAnsi"/>
          <w:color w:val="000000"/>
          <w:sz w:val="22"/>
          <w:szCs w:val="22"/>
        </w:rPr>
        <w:t xml:space="preserve">Budget makers contemplated a variety of budget </w:t>
      </w:r>
      <w:r w:rsidR="0083200F">
        <w:rPr>
          <w:rFonts w:asciiTheme="minorHAnsi" w:hAnsiTheme="minorHAnsi" w:cstheme="minorHAnsi"/>
          <w:color w:val="000000"/>
          <w:sz w:val="22"/>
          <w:szCs w:val="22"/>
        </w:rPr>
        <w:t xml:space="preserve">scenarios and </w:t>
      </w:r>
      <w:r w:rsidRPr="002A2A96">
        <w:rPr>
          <w:rFonts w:asciiTheme="minorHAnsi" w:hAnsiTheme="minorHAnsi" w:cstheme="minorHAnsi"/>
          <w:color w:val="000000"/>
          <w:sz w:val="22"/>
          <w:szCs w:val="22"/>
        </w:rPr>
        <w:t xml:space="preserve">tools and ultimately decided to develop a budget predicated on </w:t>
      </w:r>
      <w:r w:rsidR="00B60447" w:rsidRPr="002A2A96">
        <w:rPr>
          <w:rFonts w:asciiTheme="minorHAnsi" w:hAnsiTheme="minorHAnsi" w:cstheme="minorHAnsi"/>
          <w:color w:val="000000"/>
          <w:sz w:val="22"/>
          <w:szCs w:val="22"/>
        </w:rPr>
        <w:t>what the sponsor characterized as “</w:t>
      </w:r>
      <w:r w:rsidRPr="002A2A96">
        <w:rPr>
          <w:rFonts w:asciiTheme="minorHAnsi" w:hAnsiTheme="minorHAnsi" w:cstheme="minorHAnsi"/>
          <w:color w:val="000000"/>
          <w:sz w:val="22"/>
          <w:szCs w:val="22"/>
        </w:rPr>
        <w:t xml:space="preserve">aggressive cash management </w:t>
      </w:r>
      <w:r w:rsidR="00B60447" w:rsidRPr="002A2A96">
        <w:rPr>
          <w:rFonts w:asciiTheme="minorHAnsi" w:hAnsiTheme="minorHAnsi" w:cstheme="minorHAnsi"/>
          <w:color w:val="000000"/>
          <w:sz w:val="22"/>
          <w:szCs w:val="22"/>
        </w:rPr>
        <w:t xml:space="preserve">authority </w:t>
      </w:r>
      <w:r w:rsidRPr="002A2A96">
        <w:rPr>
          <w:rFonts w:asciiTheme="minorHAnsi" w:hAnsiTheme="minorHAnsi" w:cstheme="minorHAnsi"/>
          <w:color w:val="000000"/>
          <w:sz w:val="22"/>
          <w:szCs w:val="22"/>
        </w:rPr>
        <w:t xml:space="preserve">and utilization of existing federal credit </w:t>
      </w:r>
      <w:r w:rsidR="003216D0">
        <w:rPr>
          <w:rFonts w:asciiTheme="minorHAnsi" w:hAnsiTheme="minorHAnsi" w:cstheme="minorHAnsi"/>
          <w:color w:val="000000"/>
          <w:sz w:val="22"/>
          <w:szCs w:val="22"/>
        </w:rPr>
        <w:t>options</w:t>
      </w:r>
      <w:r w:rsidR="00B60447" w:rsidRPr="002A2A96">
        <w:rPr>
          <w:rFonts w:asciiTheme="minorHAnsi" w:hAnsiTheme="minorHAnsi" w:cstheme="minorHAnsi"/>
          <w:color w:val="000000"/>
          <w:sz w:val="22"/>
          <w:szCs w:val="22"/>
        </w:rPr>
        <w:t>”</w:t>
      </w:r>
      <w:r w:rsidR="00441389">
        <w:rPr>
          <w:rFonts w:asciiTheme="minorHAnsi" w:hAnsiTheme="minorHAnsi" w:cstheme="minorHAnsi"/>
          <w:color w:val="000000"/>
          <w:sz w:val="22"/>
          <w:szCs w:val="22"/>
        </w:rPr>
        <w:t xml:space="preserve"> allowing the state to borrow to operate</w:t>
      </w:r>
      <w:r w:rsidR="00B60447" w:rsidRPr="002A2A96">
        <w:rPr>
          <w:rFonts w:asciiTheme="minorHAnsi" w:hAnsiTheme="minorHAnsi" w:cstheme="minorHAnsi"/>
          <w:color w:val="000000"/>
          <w:sz w:val="22"/>
          <w:szCs w:val="22"/>
        </w:rPr>
        <w:t xml:space="preserve">. </w:t>
      </w:r>
      <w:r w:rsidR="00441389">
        <w:rPr>
          <w:rFonts w:asciiTheme="minorHAnsi" w:hAnsiTheme="minorHAnsi" w:cstheme="minorHAnsi"/>
          <w:color w:val="000000"/>
          <w:sz w:val="22"/>
          <w:szCs w:val="22"/>
        </w:rPr>
        <w:t xml:space="preserve">The General Assembly hopes to return in a Fall Veto session to enact supplemental funding, but the prospect of a resurgence of the novel virus </w:t>
      </w:r>
      <w:r w:rsidR="0083200F">
        <w:rPr>
          <w:rFonts w:asciiTheme="minorHAnsi" w:hAnsiTheme="minorHAnsi" w:cstheme="minorHAnsi"/>
          <w:color w:val="000000"/>
          <w:sz w:val="22"/>
          <w:szCs w:val="22"/>
        </w:rPr>
        <w:t xml:space="preserve">makes </w:t>
      </w:r>
      <w:r w:rsidR="00441389">
        <w:rPr>
          <w:rFonts w:asciiTheme="minorHAnsi" w:hAnsiTheme="minorHAnsi" w:cstheme="minorHAnsi"/>
          <w:color w:val="000000"/>
          <w:sz w:val="22"/>
          <w:szCs w:val="22"/>
        </w:rPr>
        <w:t xml:space="preserve">that plan uncertain. </w:t>
      </w:r>
    </w:p>
    <w:p w14:paraId="48A047B6" w14:textId="178F6EDE" w:rsidR="001E26D6" w:rsidRDefault="008856DE" w:rsidP="002A2A96">
      <w:pPr>
        <w:pStyle w:val="NormalWeb"/>
        <w:spacing w:before="240" w:beforeAutospacing="0" w:after="240" w:afterAutospacing="0"/>
        <w:rPr>
          <w:rFonts w:asciiTheme="minorHAnsi" w:hAnsiTheme="minorHAnsi" w:cstheme="minorHAnsi"/>
          <w:color w:val="000000"/>
          <w:sz w:val="22"/>
          <w:szCs w:val="22"/>
        </w:rPr>
      </w:pPr>
      <w:hyperlink r:id="rId15" w:history="1">
        <w:r w:rsidR="00221401" w:rsidRPr="00221401">
          <w:rPr>
            <w:rStyle w:val="Hyperlink"/>
            <w:rFonts w:asciiTheme="minorHAnsi" w:hAnsiTheme="minorHAnsi" w:cstheme="minorHAnsi"/>
            <w:sz w:val="22"/>
            <w:szCs w:val="22"/>
          </w:rPr>
          <w:t>SB 264</w:t>
        </w:r>
      </w:hyperlink>
      <w:r w:rsidR="00221401">
        <w:t xml:space="preserve"> </w:t>
      </w:r>
      <w:r w:rsidR="00C71DE1" w:rsidRPr="00F67790">
        <w:rPr>
          <w:rFonts w:asciiTheme="minorHAnsi" w:hAnsiTheme="minorHAnsi" w:cstheme="minorHAnsi"/>
          <w:b/>
          <w:bCs/>
          <w:color w:val="000000"/>
          <w:sz w:val="22"/>
          <w:szCs w:val="22"/>
        </w:rPr>
        <w:t>(Harmon/Harris)</w:t>
      </w:r>
      <w:r w:rsidR="00B60447" w:rsidRPr="002A2A96">
        <w:rPr>
          <w:rFonts w:asciiTheme="minorHAnsi" w:hAnsiTheme="minorHAnsi" w:cstheme="minorHAnsi"/>
          <w:color w:val="000000"/>
          <w:sz w:val="22"/>
          <w:szCs w:val="22"/>
        </w:rPr>
        <w:t xml:space="preserve"> enacts the FY </w:t>
      </w:r>
      <w:r w:rsidR="00BA3A83">
        <w:rPr>
          <w:rFonts w:asciiTheme="minorHAnsi" w:hAnsiTheme="minorHAnsi" w:cstheme="minorHAnsi"/>
          <w:color w:val="000000"/>
          <w:sz w:val="22"/>
          <w:szCs w:val="22"/>
        </w:rPr>
        <w:t>20</w:t>
      </w:r>
      <w:r w:rsidR="00B60447" w:rsidRPr="002A2A96">
        <w:rPr>
          <w:rFonts w:asciiTheme="minorHAnsi" w:hAnsiTheme="minorHAnsi" w:cstheme="minorHAnsi"/>
          <w:color w:val="000000"/>
          <w:sz w:val="22"/>
          <w:szCs w:val="22"/>
        </w:rPr>
        <w:t xml:space="preserve">21 budget, </w:t>
      </w:r>
      <w:r w:rsidR="007B5A1F">
        <w:rPr>
          <w:rFonts w:asciiTheme="minorHAnsi" w:hAnsiTheme="minorHAnsi" w:cstheme="minorHAnsi"/>
          <w:color w:val="000000"/>
          <w:sz w:val="22"/>
          <w:szCs w:val="22"/>
        </w:rPr>
        <w:t>FY 202</w:t>
      </w:r>
      <w:r w:rsidR="00BA3A83">
        <w:rPr>
          <w:rFonts w:asciiTheme="minorHAnsi" w:hAnsiTheme="minorHAnsi" w:cstheme="minorHAnsi"/>
          <w:color w:val="000000"/>
          <w:sz w:val="22"/>
          <w:szCs w:val="22"/>
        </w:rPr>
        <w:t>0</w:t>
      </w:r>
      <w:r w:rsidR="00B60447" w:rsidRPr="007B5A1F">
        <w:rPr>
          <w:rFonts w:asciiTheme="minorHAnsi" w:hAnsiTheme="minorHAnsi" w:cstheme="minorHAnsi"/>
          <w:color w:val="000000"/>
          <w:sz w:val="22"/>
          <w:szCs w:val="22"/>
        </w:rPr>
        <w:t xml:space="preserve"> supplemental </w:t>
      </w:r>
      <w:r w:rsidR="003216D0" w:rsidRPr="007B5A1F">
        <w:rPr>
          <w:rFonts w:asciiTheme="minorHAnsi" w:hAnsiTheme="minorHAnsi" w:cstheme="minorHAnsi"/>
          <w:color w:val="000000"/>
          <w:sz w:val="22"/>
          <w:szCs w:val="22"/>
        </w:rPr>
        <w:t xml:space="preserve">funding </w:t>
      </w:r>
      <w:r w:rsidR="00B60447" w:rsidRPr="007B5A1F">
        <w:rPr>
          <w:rFonts w:asciiTheme="minorHAnsi" w:hAnsiTheme="minorHAnsi" w:cstheme="minorHAnsi"/>
          <w:color w:val="000000"/>
          <w:sz w:val="22"/>
          <w:szCs w:val="22"/>
        </w:rPr>
        <w:t xml:space="preserve">and </w:t>
      </w:r>
      <w:r w:rsidR="007B5A1F" w:rsidRPr="007B5A1F">
        <w:rPr>
          <w:rFonts w:asciiTheme="minorHAnsi" w:hAnsiTheme="minorHAnsi" w:cstheme="minorHAnsi"/>
          <w:color w:val="000000"/>
          <w:sz w:val="22"/>
          <w:szCs w:val="22"/>
        </w:rPr>
        <w:t>pay</w:t>
      </w:r>
      <w:r w:rsidR="002F3DB9">
        <w:rPr>
          <w:rFonts w:asciiTheme="minorHAnsi" w:hAnsiTheme="minorHAnsi" w:cstheme="minorHAnsi"/>
          <w:color w:val="000000"/>
          <w:sz w:val="22"/>
          <w:szCs w:val="22"/>
        </w:rPr>
        <w:t>-</w:t>
      </w:r>
      <w:r w:rsidR="007B5A1F" w:rsidRPr="007B5A1F">
        <w:rPr>
          <w:rFonts w:asciiTheme="minorHAnsi" w:hAnsiTheme="minorHAnsi" w:cstheme="minorHAnsi"/>
          <w:color w:val="000000"/>
          <w:sz w:val="22"/>
          <w:szCs w:val="22"/>
        </w:rPr>
        <w:t>as</w:t>
      </w:r>
      <w:r w:rsidR="002F3DB9">
        <w:rPr>
          <w:rFonts w:asciiTheme="minorHAnsi" w:hAnsiTheme="minorHAnsi" w:cstheme="minorHAnsi"/>
          <w:color w:val="000000"/>
          <w:sz w:val="22"/>
          <w:szCs w:val="22"/>
        </w:rPr>
        <w:t>-</w:t>
      </w:r>
      <w:r w:rsidR="007B5A1F" w:rsidRPr="007B5A1F">
        <w:rPr>
          <w:rFonts w:asciiTheme="minorHAnsi" w:hAnsiTheme="minorHAnsi" w:cstheme="minorHAnsi"/>
          <w:color w:val="000000"/>
          <w:sz w:val="22"/>
          <w:szCs w:val="22"/>
        </w:rPr>
        <w:t>you</w:t>
      </w:r>
      <w:r w:rsidR="002F3DB9">
        <w:rPr>
          <w:rFonts w:asciiTheme="minorHAnsi" w:hAnsiTheme="minorHAnsi" w:cstheme="minorHAnsi"/>
          <w:color w:val="000000"/>
          <w:sz w:val="22"/>
          <w:szCs w:val="22"/>
        </w:rPr>
        <w:t>-</w:t>
      </w:r>
      <w:r w:rsidR="007B5A1F" w:rsidRPr="007B5A1F">
        <w:rPr>
          <w:rFonts w:asciiTheme="minorHAnsi" w:hAnsiTheme="minorHAnsi" w:cstheme="minorHAnsi"/>
          <w:color w:val="000000"/>
          <w:sz w:val="22"/>
          <w:szCs w:val="22"/>
        </w:rPr>
        <w:t xml:space="preserve">go </w:t>
      </w:r>
      <w:r w:rsidR="00B60447" w:rsidRPr="007B5A1F">
        <w:rPr>
          <w:rFonts w:asciiTheme="minorHAnsi" w:hAnsiTheme="minorHAnsi" w:cstheme="minorHAnsi"/>
          <w:color w:val="000000"/>
          <w:sz w:val="22"/>
          <w:szCs w:val="22"/>
        </w:rPr>
        <w:t xml:space="preserve">capital funding. </w:t>
      </w:r>
      <w:r w:rsidR="003F0FDE">
        <w:rPr>
          <w:rFonts w:asciiTheme="minorHAnsi" w:hAnsiTheme="minorHAnsi" w:cstheme="minorHAnsi"/>
          <w:color w:val="000000"/>
          <w:sz w:val="22"/>
          <w:szCs w:val="22"/>
        </w:rPr>
        <w:t xml:space="preserve"> </w:t>
      </w:r>
      <w:r w:rsidR="007B5A1F">
        <w:rPr>
          <w:rFonts w:asciiTheme="minorHAnsi" w:hAnsiTheme="minorHAnsi" w:cstheme="minorHAnsi"/>
          <w:color w:val="000000"/>
          <w:sz w:val="22"/>
          <w:szCs w:val="22"/>
        </w:rPr>
        <w:t xml:space="preserve">The FY 21 budget </w:t>
      </w:r>
      <w:r w:rsidR="007B5A1F" w:rsidRPr="007B5A1F">
        <w:rPr>
          <w:rFonts w:asciiTheme="minorHAnsi" w:hAnsiTheme="minorHAnsi" w:cstheme="minorHAnsi"/>
          <w:color w:val="000000"/>
          <w:sz w:val="22"/>
          <w:szCs w:val="22"/>
        </w:rPr>
        <w:t>appropriates $</w:t>
      </w:r>
      <w:r w:rsidR="001E26D6">
        <w:rPr>
          <w:rFonts w:asciiTheme="minorHAnsi" w:hAnsiTheme="minorHAnsi" w:cstheme="minorHAnsi"/>
          <w:color w:val="000000"/>
          <w:sz w:val="22"/>
          <w:szCs w:val="22"/>
        </w:rPr>
        <w:t>39.9</w:t>
      </w:r>
      <w:r w:rsidR="007B5A1F" w:rsidRPr="007B5A1F">
        <w:rPr>
          <w:rFonts w:asciiTheme="minorHAnsi" w:hAnsiTheme="minorHAnsi" w:cstheme="minorHAnsi"/>
          <w:color w:val="000000"/>
          <w:sz w:val="22"/>
          <w:szCs w:val="22"/>
        </w:rPr>
        <w:t xml:space="preserve"> billion </w:t>
      </w:r>
      <w:r w:rsidR="007B5A1F">
        <w:rPr>
          <w:rFonts w:asciiTheme="minorHAnsi" w:hAnsiTheme="minorHAnsi" w:cstheme="minorHAnsi"/>
          <w:color w:val="000000"/>
          <w:sz w:val="22"/>
          <w:szCs w:val="22"/>
        </w:rPr>
        <w:t>in General Revenue Funds</w:t>
      </w:r>
      <w:r w:rsidR="007B5A1F" w:rsidRPr="007B5A1F">
        <w:rPr>
          <w:rFonts w:asciiTheme="minorHAnsi" w:hAnsiTheme="minorHAnsi" w:cstheme="minorHAnsi"/>
          <w:color w:val="000000"/>
          <w:sz w:val="22"/>
          <w:szCs w:val="22"/>
        </w:rPr>
        <w:t xml:space="preserve"> and $57.8 billion in other state funds for </w:t>
      </w:r>
      <w:r w:rsidR="007B5A1F">
        <w:rPr>
          <w:rFonts w:asciiTheme="minorHAnsi" w:hAnsiTheme="minorHAnsi" w:cstheme="minorHAnsi"/>
          <w:color w:val="000000"/>
          <w:sz w:val="22"/>
          <w:szCs w:val="22"/>
        </w:rPr>
        <w:t xml:space="preserve">Fiscal Year 2021.  </w:t>
      </w:r>
      <w:r w:rsidR="001E26D6">
        <w:rPr>
          <w:rFonts w:asciiTheme="minorHAnsi" w:hAnsiTheme="minorHAnsi" w:cstheme="minorHAnsi"/>
          <w:color w:val="000000"/>
          <w:sz w:val="22"/>
          <w:szCs w:val="22"/>
        </w:rPr>
        <w:t>The budget is a reduction of approximately $850 million from the Governor’s original budget proposal in February. The budget estimates a drop of $2.1 billion in income taxes with another reduction of nearly $1.7 billion in sales taxes.</w:t>
      </w:r>
    </w:p>
    <w:p w14:paraId="218BAD0F" w14:textId="7F486CA6" w:rsidR="00E4073A" w:rsidRDefault="00B60447" w:rsidP="00E4073A">
      <w:pPr>
        <w:pStyle w:val="NormalWeb"/>
        <w:spacing w:before="240" w:beforeAutospacing="0" w:after="240" w:afterAutospacing="0"/>
        <w:rPr>
          <w:rFonts w:asciiTheme="minorHAnsi" w:hAnsiTheme="minorHAnsi" w:cstheme="minorHAnsi"/>
          <w:color w:val="000000"/>
          <w:sz w:val="22"/>
          <w:szCs w:val="22"/>
        </w:rPr>
      </w:pPr>
      <w:r w:rsidRPr="002A2A96">
        <w:rPr>
          <w:rFonts w:asciiTheme="minorHAnsi" w:hAnsiTheme="minorHAnsi" w:cstheme="minorHAnsi"/>
          <w:color w:val="000000"/>
          <w:sz w:val="22"/>
          <w:szCs w:val="22"/>
        </w:rPr>
        <w:t xml:space="preserve">The budget assumes $36.154 billion in GRF and other state funds revenue as well as $4.5 billion in federal borrowing. </w:t>
      </w:r>
      <w:r w:rsidR="00BA3A83">
        <w:rPr>
          <w:rFonts w:asciiTheme="minorHAnsi" w:hAnsiTheme="minorHAnsi" w:cstheme="minorHAnsi"/>
          <w:color w:val="000000"/>
          <w:sz w:val="22"/>
          <w:szCs w:val="22"/>
        </w:rPr>
        <w:t>The budget also includes</w:t>
      </w:r>
      <w:r w:rsidR="00BA3A83" w:rsidRPr="002A2A96">
        <w:rPr>
          <w:rFonts w:asciiTheme="minorHAnsi" w:hAnsiTheme="minorHAnsi" w:cstheme="minorHAnsi"/>
          <w:color w:val="000000"/>
          <w:sz w:val="22"/>
          <w:szCs w:val="22"/>
        </w:rPr>
        <w:t xml:space="preserve"> </w:t>
      </w:r>
      <w:r w:rsidR="00BA3A83" w:rsidRPr="007B5A1F">
        <w:rPr>
          <w:rFonts w:asciiTheme="minorHAnsi" w:hAnsiTheme="minorHAnsi" w:cstheme="minorHAnsi"/>
          <w:color w:val="000000"/>
          <w:sz w:val="22"/>
          <w:szCs w:val="22"/>
        </w:rPr>
        <w:t xml:space="preserve">$503.7 million </w:t>
      </w:r>
      <w:r w:rsidR="00BA3A83">
        <w:rPr>
          <w:rFonts w:asciiTheme="minorHAnsi" w:hAnsiTheme="minorHAnsi" w:cstheme="minorHAnsi"/>
          <w:color w:val="000000"/>
          <w:sz w:val="22"/>
          <w:szCs w:val="22"/>
        </w:rPr>
        <w:t>in supplemental General Revenue Funds</w:t>
      </w:r>
      <w:r w:rsidR="00BA3A83" w:rsidRPr="007B5A1F">
        <w:rPr>
          <w:rFonts w:asciiTheme="minorHAnsi" w:hAnsiTheme="minorHAnsi" w:cstheme="minorHAnsi"/>
          <w:color w:val="000000"/>
          <w:sz w:val="22"/>
          <w:szCs w:val="22"/>
        </w:rPr>
        <w:t xml:space="preserve"> </w:t>
      </w:r>
      <w:r w:rsidR="00BA3A83">
        <w:rPr>
          <w:rFonts w:asciiTheme="minorHAnsi" w:hAnsiTheme="minorHAnsi" w:cstheme="minorHAnsi"/>
          <w:color w:val="000000"/>
          <w:sz w:val="22"/>
          <w:szCs w:val="22"/>
        </w:rPr>
        <w:t>for FY 2021.</w:t>
      </w:r>
      <w:r w:rsidR="00082F8B">
        <w:rPr>
          <w:rFonts w:asciiTheme="minorHAnsi" w:hAnsiTheme="minorHAnsi" w:cstheme="minorHAnsi"/>
          <w:color w:val="000000"/>
          <w:sz w:val="22"/>
          <w:szCs w:val="22"/>
        </w:rPr>
        <w:t xml:space="preserve"> </w:t>
      </w:r>
      <w:hyperlink r:id="rId16" w:history="1">
        <w:r w:rsidR="00221401" w:rsidRPr="00221401">
          <w:rPr>
            <w:rStyle w:val="Hyperlink"/>
            <w:rFonts w:asciiTheme="minorHAnsi" w:hAnsiTheme="minorHAnsi" w:cstheme="minorHAnsi"/>
            <w:sz w:val="22"/>
            <w:szCs w:val="22"/>
          </w:rPr>
          <w:t>SB 2099</w:t>
        </w:r>
      </w:hyperlink>
      <w:r w:rsidR="00221401">
        <w:rPr>
          <w:rFonts w:asciiTheme="minorHAnsi" w:hAnsiTheme="minorHAnsi" w:cstheme="minorHAnsi"/>
          <w:sz w:val="22"/>
          <w:szCs w:val="22"/>
        </w:rPr>
        <w:t xml:space="preserve"> </w:t>
      </w:r>
      <w:r w:rsidR="002A2A96" w:rsidRPr="00F67790">
        <w:rPr>
          <w:rFonts w:asciiTheme="minorHAnsi" w:hAnsiTheme="minorHAnsi" w:cstheme="minorHAnsi"/>
          <w:b/>
          <w:bCs/>
          <w:color w:val="000000"/>
          <w:sz w:val="22"/>
          <w:szCs w:val="22"/>
        </w:rPr>
        <w:t>(Harmon/</w:t>
      </w:r>
      <w:proofErr w:type="spellStart"/>
      <w:r w:rsidR="002A2A96" w:rsidRPr="00F67790">
        <w:rPr>
          <w:rFonts w:asciiTheme="minorHAnsi" w:hAnsiTheme="minorHAnsi" w:cstheme="minorHAnsi"/>
          <w:b/>
          <w:bCs/>
          <w:color w:val="000000"/>
          <w:sz w:val="22"/>
          <w:szCs w:val="22"/>
        </w:rPr>
        <w:t>Zalewski</w:t>
      </w:r>
      <w:proofErr w:type="spellEnd"/>
      <w:r w:rsidR="002A2A96" w:rsidRPr="00F67790">
        <w:rPr>
          <w:rFonts w:asciiTheme="minorHAnsi" w:hAnsiTheme="minorHAnsi" w:cstheme="minorHAnsi"/>
          <w:b/>
          <w:bCs/>
          <w:color w:val="000000"/>
          <w:sz w:val="22"/>
          <w:szCs w:val="22"/>
        </w:rPr>
        <w:t>)</w:t>
      </w:r>
      <w:r w:rsidR="002A2A96" w:rsidRPr="002A2A96">
        <w:rPr>
          <w:rFonts w:asciiTheme="minorHAnsi" w:hAnsiTheme="minorHAnsi" w:cstheme="minorHAnsi"/>
          <w:color w:val="000000"/>
          <w:sz w:val="22"/>
          <w:szCs w:val="22"/>
        </w:rPr>
        <w:t xml:space="preserve"> allows the Governor, with the approval of the Comptroller and Treasurer, to borrow up to $5 billion from the Federal Reserve Bank.</w:t>
      </w:r>
      <w:r w:rsidR="00311C3F">
        <w:rPr>
          <w:rFonts w:asciiTheme="minorHAnsi" w:hAnsiTheme="minorHAnsi" w:cstheme="minorHAnsi"/>
          <w:color w:val="000000"/>
          <w:sz w:val="22"/>
          <w:szCs w:val="22"/>
        </w:rPr>
        <w:t xml:space="preserve">  The budget package also include </w:t>
      </w:r>
      <w:r w:rsidR="00281703">
        <w:rPr>
          <w:rFonts w:asciiTheme="minorHAnsi" w:hAnsiTheme="minorHAnsi" w:cstheme="minorHAnsi"/>
          <w:color w:val="000000"/>
          <w:sz w:val="22"/>
          <w:szCs w:val="22"/>
        </w:rPr>
        <w:t>appropriation authorization for</w:t>
      </w:r>
      <w:r w:rsidR="00311C3F">
        <w:rPr>
          <w:rFonts w:asciiTheme="minorHAnsi" w:hAnsiTheme="minorHAnsi" w:cstheme="minorHAnsi"/>
          <w:color w:val="000000"/>
          <w:sz w:val="22"/>
          <w:szCs w:val="22"/>
        </w:rPr>
        <w:t xml:space="preserve"> </w:t>
      </w:r>
      <w:r w:rsidR="00281703">
        <w:rPr>
          <w:rFonts w:asciiTheme="minorHAnsi" w:hAnsiTheme="minorHAnsi" w:cstheme="minorHAnsi"/>
          <w:color w:val="000000"/>
          <w:sz w:val="22"/>
          <w:szCs w:val="22"/>
        </w:rPr>
        <w:t xml:space="preserve">Rebuild Illinois </w:t>
      </w:r>
      <w:r w:rsidR="00311C3F">
        <w:rPr>
          <w:rFonts w:asciiTheme="minorHAnsi" w:hAnsiTheme="minorHAnsi" w:cstheme="minorHAnsi"/>
          <w:color w:val="000000"/>
          <w:sz w:val="22"/>
          <w:szCs w:val="22"/>
        </w:rPr>
        <w:t xml:space="preserve">capital projects in </w:t>
      </w:r>
      <w:hyperlink r:id="rId17" w:history="1">
        <w:r w:rsidR="00221401" w:rsidRPr="00221401">
          <w:rPr>
            <w:rStyle w:val="Hyperlink"/>
            <w:rFonts w:asciiTheme="minorHAnsi" w:hAnsiTheme="minorHAnsi" w:cstheme="minorHAnsi"/>
            <w:sz w:val="22"/>
            <w:szCs w:val="22"/>
          </w:rPr>
          <w:t>HB 64</w:t>
        </w:r>
      </w:hyperlink>
      <w:r w:rsidR="00221401">
        <w:rPr>
          <w:rFonts w:asciiTheme="minorHAnsi" w:hAnsiTheme="minorHAnsi" w:cstheme="minorHAnsi"/>
          <w:sz w:val="22"/>
          <w:szCs w:val="22"/>
        </w:rPr>
        <w:t xml:space="preserve"> </w:t>
      </w:r>
      <w:r w:rsidR="00311C3F" w:rsidRPr="001206A9">
        <w:rPr>
          <w:rFonts w:asciiTheme="minorHAnsi" w:hAnsiTheme="minorHAnsi" w:cstheme="minorHAnsi"/>
          <w:b/>
          <w:bCs/>
          <w:color w:val="000000"/>
          <w:sz w:val="22"/>
          <w:szCs w:val="22"/>
        </w:rPr>
        <w:t>(</w:t>
      </w:r>
      <w:r w:rsidR="006466C7" w:rsidRPr="001206A9">
        <w:rPr>
          <w:rFonts w:asciiTheme="minorHAnsi" w:hAnsiTheme="minorHAnsi" w:cstheme="minorHAnsi"/>
          <w:b/>
          <w:bCs/>
          <w:color w:val="000000"/>
          <w:sz w:val="22"/>
          <w:szCs w:val="22"/>
        </w:rPr>
        <w:t>Hoffman</w:t>
      </w:r>
      <w:r w:rsidR="00311C3F" w:rsidRPr="001206A9">
        <w:rPr>
          <w:rFonts w:asciiTheme="minorHAnsi" w:hAnsiTheme="minorHAnsi" w:cstheme="minorHAnsi"/>
          <w:b/>
          <w:bCs/>
          <w:color w:val="000000"/>
          <w:sz w:val="22"/>
          <w:szCs w:val="22"/>
        </w:rPr>
        <w:t>/Harmon)</w:t>
      </w:r>
      <w:r w:rsidR="00311C3F">
        <w:rPr>
          <w:rFonts w:asciiTheme="minorHAnsi" w:hAnsiTheme="minorHAnsi" w:cstheme="minorHAnsi"/>
          <w:color w:val="000000"/>
          <w:sz w:val="22"/>
          <w:szCs w:val="22"/>
        </w:rPr>
        <w:t xml:space="preserve">.  </w:t>
      </w:r>
      <w:r w:rsidR="00281703">
        <w:rPr>
          <w:rFonts w:asciiTheme="minorHAnsi" w:hAnsiTheme="minorHAnsi" w:cstheme="minorHAnsi"/>
          <w:color w:val="000000"/>
          <w:sz w:val="22"/>
          <w:szCs w:val="22"/>
        </w:rPr>
        <w:t xml:space="preserve">Specifically, the bill funds $104 </w:t>
      </w:r>
      <w:r w:rsidR="001E26D6">
        <w:rPr>
          <w:rFonts w:asciiTheme="minorHAnsi" w:hAnsiTheme="minorHAnsi" w:cstheme="minorHAnsi"/>
          <w:color w:val="000000"/>
          <w:sz w:val="22"/>
          <w:szCs w:val="22"/>
        </w:rPr>
        <w:t>b</w:t>
      </w:r>
      <w:r w:rsidR="00281703">
        <w:rPr>
          <w:rFonts w:asciiTheme="minorHAnsi" w:hAnsiTheme="minorHAnsi" w:cstheme="minorHAnsi"/>
          <w:color w:val="000000"/>
          <w:sz w:val="22"/>
          <w:szCs w:val="22"/>
        </w:rPr>
        <w:t>illion in pay-as-you go and $20.8 billion in bonded capital projects. The bill leverages $10 billion in federal funds and distributes $3.6 billion to units of local government.</w:t>
      </w:r>
    </w:p>
    <w:p w14:paraId="5B655D20" w14:textId="067AE09C" w:rsidR="005051A7" w:rsidRPr="00E4073A" w:rsidRDefault="0082296D" w:rsidP="00E4073A">
      <w:pPr>
        <w:pStyle w:val="NormalWeb"/>
        <w:spacing w:before="240" w:beforeAutospacing="0" w:after="240" w:afterAutospacing="0"/>
        <w:rPr>
          <w:rFonts w:asciiTheme="minorHAnsi" w:hAnsiTheme="minorHAnsi" w:cstheme="minorHAnsi"/>
          <w:color w:val="000000"/>
          <w:sz w:val="22"/>
          <w:szCs w:val="22"/>
        </w:rPr>
      </w:pPr>
      <w:r w:rsidRPr="00E4073A">
        <w:rPr>
          <w:rFonts w:asciiTheme="minorHAnsi" w:hAnsiTheme="minorHAnsi" w:cstheme="minorHAnsi"/>
          <w:sz w:val="22"/>
          <w:szCs w:val="22"/>
        </w:rPr>
        <w:t>O</w:t>
      </w:r>
      <w:r w:rsidR="005051A7" w:rsidRPr="00E4073A">
        <w:rPr>
          <w:rFonts w:asciiTheme="minorHAnsi" w:hAnsiTheme="minorHAnsi" w:cstheme="minorHAnsi"/>
          <w:sz w:val="22"/>
          <w:szCs w:val="22"/>
        </w:rPr>
        <w:t>ver $900 million will be allocated to the Department of Public Health to assist with contact tracing and COVID-19 testing, including in areas disproportionately impacted by the pandemic</w:t>
      </w:r>
      <w:r w:rsidR="00E4073A">
        <w:rPr>
          <w:rFonts w:asciiTheme="minorHAnsi" w:hAnsiTheme="minorHAnsi" w:cstheme="minorHAnsi"/>
          <w:sz w:val="22"/>
          <w:szCs w:val="22"/>
        </w:rPr>
        <w:t xml:space="preserve">. </w:t>
      </w:r>
      <w:r w:rsidR="005051A7" w:rsidRPr="00E4073A">
        <w:rPr>
          <w:rFonts w:asciiTheme="minorHAnsi" w:hAnsiTheme="minorHAnsi" w:cstheme="minorHAnsi"/>
          <w:sz w:val="22"/>
          <w:szCs w:val="22"/>
        </w:rPr>
        <w:t>The budget includes $3.8 billion from federal stimulus funds to address COVID-19 in the next fiscal year. That funding includes:</w:t>
      </w:r>
    </w:p>
    <w:p w14:paraId="5AB288C3" w14:textId="77777777" w:rsidR="005051A7" w:rsidRPr="0082296D" w:rsidRDefault="005051A7" w:rsidP="00E4073A">
      <w:pPr>
        <w:numPr>
          <w:ilvl w:val="0"/>
          <w:numId w:val="7"/>
        </w:numPr>
        <w:spacing w:after="0" w:line="240" w:lineRule="auto"/>
        <w:ind w:left="600" w:hanging="240"/>
        <w:rPr>
          <w:rFonts w:cstheme="minorHAnsi"/>
        </w:rPr>
      </w:pPr>
      <w:r w:rsidRPr="00E4073A">
        <w:rPr>
          <w:rFonts w:cstheme="minorHAnsi"/>
        </w:rPr>
        <w:t>$385 million to provide support to providers of long-term care services, excluding specialized mental health rehabilitation facilities. An additional</w:t>
      </w:r>
      <w:r w:rsidRPr="0082296D">
        <w:rPr>
          <w:rFonts w:cstheme="minorHAnsi"/>
        </w:rPr>
        <w:t xml:space="preserve"> $50 million will be given to support providers offering long-term care services to disproportionately impacted areas, based on positive COVID-19 cases.</w:t>
      </w:r>
    </w:p>
    <w:p w14:paraId="0E358F83" w14:textId="77777777" w:rsidR="005051A7" w:rsidRPr="0082296D" w:rsidRDefault="005051A7" w:rsidP="00E4073A">
      <w:pPr>
        <w:numPr>
          <w:ilvl w:val="0"/>
          <w:numId w:val="7"/>
        </w:numPr>
        <w:spacing w:after="0" w:line="240" w:lineRule="auto"/>
        <w:ind w:left="600" w:hanging="240"/>
        <w:rPr>
          <w:rFonts w:cstheme="minorHAnsi"/>
        </w:rPr>
      </w:pPr>
      <w:r w:rsidRPr="0082296D">
        <w:rPr>
          <w:rFonts w:cstheme="minorHAnsi"/>
        </w:rPr>
        <w:t>$150 million to support federally qualified health centers. An additional $40 million will support federally qualified health centers that serve disproportionately impacted areas, based on positive COVID-19 cases.</w:t>
      </w:r>
    </w:p>
    <w:p w14:paraId="37CF52EE" w14:textId="77777777" w:rsidR="005051A7" w:rsidRPr="0082296D" w:rsidRDefault="005051A7" w:rsidP="00E4073A">
      <w:pPr>
        <w:numPr>
          <w:ilvl w:val="0"/>
          <w:numId w:val="7"/>
        </w:numPr>
        <w:spacing w:after="0" w:line="240" w:lineRule="auto"/>
        <w:ind w:left="600" w:hanging="240"/>
        <w:rPr>
          <w:rFonts w:cstheme="minorHAnsi"/>
        </w:rPr>
      </w:pPr>
      <w:r w:rsidRPr="0082296D">
        <w:rPr>
          <w:rFonts w:cstheme="minorHAnsi"/>
        </w:rPr>
        <w:t>$190 million to support ambulance providers, medical assistance providers, excluding specialized mental health rehabilitation facilities.</w:t>
      </w:r>
    </w:p>
    <w:p w14:paraId="27AD5319" w14:textId="77777777" w:rsidR="005051A7" w:rsidRPr="0082296D" w:rsidRDefault="005051A7" w:rsidP="00E4073A">
      <w:pPr>
        <w:numPr>
          <w:ilvl w:val="0"/>
          <w:numId w:val="7"/>
        </w:numPr>
        <w:spacing w:after="0" w:line="240" w:lineRule="auto"/>
        <w:ind w:left="600" w:hanging="240"/>
        <w:rPr>
          <w:rFonts w:cstheme="minorHAnsi"/>
        </w:rPr>
      </w:pPr>
      <w:r w:rsidRPr="0082296D">
        <w:rPr>
          <w:rFonts w:cstheme="minorHAnsi"/>
        </w:rPr>
        <w:t>$14.6 million to support specialized mental health rehabilitation facilities.</w:t>
      </w:r>
    </w:p>
    <w:p w14:paraId="219FC681" w14:textId="1F452EC3" w:rsidR="005051A7" w:rsidRDefault="005051A7" w:rsidP="00E4073A">
      <w:pPr>
        <w:numPr>
          <w:ilvl w:val="0"/>
          <w:numId w:val="7"/>
        </w:numPr>
        <w:spacing w:after="0" w:line="240" w:lineRule="auto"/>
        <w:ind w:left="600" w:hanging="240"/>
        <w:rPr>
          <w:rFonts w:cstheme="minorHAnsi"/>
        </w:rPr>
      </w:pPr>
      <w:r w:rsidRPr="0082296D">
        <w:rPr>
          <w:rFonts w:cstheme="minorHAnsi"/>
        </w:rPr>
        <w:t>$30 million for services including mental health, substance abuse and other counseling services and assistance for individuals and families impacted by the COVID-19 pandemic.</w:t>
      </w:r>
    </w:p>
    <w:p w14:paraId="3C1FA430" w14:textId="24EAABDE" w:rsidR="001E26D6" w:rsidRDefault="001E26D6" w:rsidP="00E4073A">
      <w:pPr>
        <w:spacing w:after="0" w:line="240" w:lineRule="auto"/>
        <w:rPr>
          <w:rFonts w:cstheme="minorHAnsi"/>
        </w:rPr>
      </w:pPr>
    </w:p>
    <w:p w14:paraId="59D022BD" w14:textId="00247876" w:rsidR="001E26D6" w:rsidRDefault="001E26D6" w:rsidP="001E26D6">
      <w:pPr>
        <w:spacing w:after="0" w:line="240" w:lineRule="auto"/>
        <w:rPr>
          <w:rFonts w:eastAsia="Times New Roman" w:cstheme="minorHAnsi"/>
          <w:color w:val="000000"/>
        </w:rPr>
      </w:pPr>
      <w:r>
        <w:lastRenderedPageBreak/>
        <w:t xml:space="preserve">The Budget Implementation Bill (BIMP) with authorizing budget language is </w:t>
      </w:r>
      <w:hyperlink r:id="rId18" w:history="1">
        <w:r w:rsidRPr="003C66BA">
          <w:rPr>
            <w:rStyle w:val="Hyperlink"/>
          </w:rPr>
          <w:t>HB 357</w:t>
        </w:r>
      </w:hyperlink>
      <w:r>
        <w:t xml:space="preserve">. It includes the creation of a Coronavirus Business Interruption Grant Program (or BIG program) that allows the Department of Commerce &amp; Economic Opportunity to use federal money from the CARES Act to provide financial assistance to businesses experiencing interruption or other adverse conditions. Up to $60 million may be used for DCEO’s Emergency Loan Fund Program which can be converted to a grant. However, the Emergency Loan Fund Program is limited to small businesses with less than 50 employees </w:t>
      </w:r>
      <w:bookmarkStart w:id="5" w:name="_Hlk41394312"/>
      <w:bookmarkEnd w:id="4"/>
      <w:r>
        <w:t xml:space="preserve">and revenue of less than $3 million. Qualifying businesses include but are not limited to childcare, day care, and early childhood education. </w:t>
      </w:r>
      <w:r w:rsidR="003C66BA">
        <w:rPr>
          <w:rFonts w:eastAsia="Times New Roman" w:cstheme="minorHAnsi"/>
          <w:color w:val="000000"/>
        </w:rPr>
        <w:t>The bill also c</w:t>
      </w:r>
      <w:r w:rsidR="003C66BA" w:rsidRPr="00BE4065">
        <w:rPr>
          <w:rFonts w:eastAsia="Times New Roman" w:cstheme="minorHAnsi"/>
          <w:color w:val="000000"/>
        </w:rPr>
        <w:t>reates a Legislative Budget Oversight Committee so the General Assembly can review the progress on the implementation of the budget.</w:t>
      </w:r>
      <w:bookmarkEnd w:id="5"/>
    </w:p>
    <w:p w14:paraId="5A42612D" w14:textId="77777777" w:rsidR="009E627C" w:rsidRPr="0082296D" w:rsidRDefault="009E627C" w:rsidP="001E26D6">
      <w:pPr>
        <w:spacing w:after="0" w:line="240" w:lineRule="auto"/>
        <w:rPr>
          <w:rFonts w:cstheme="minorHAnsi"/>
        </w:rPr>
      </w:pPr>
    </w:p>
    <w:p w14:paraId="045BDE66" w14:textId="1C9E01AD" w:rsidR="003C66BA" w:rsidRPr="009E627C" w:rsidRDefault="009E627C" w:rsidP="002A2A96">
      <w:pPr>
        <w:pStyle w:val="NormalWeb"/>
        <w:spacing w:before="0" w:beforeAutospacing="0" w:after="0" w:afterAutospacing="0"/>
        <w:rPr>
          <w:rFonts w:asciiTheme="minorHAnsi" w:hAnsiTheme="minorHAnsi" w:cstheme="minorHAnsi"/>
          <w:b/>
          <w:bCs/>
          <w:i/>
          <w:iCs/>
          <w:sz w:val="22"/>
          <w:szCs w:val="22"/>
          <w:u w:val="single"/>
        </w:rPr>
      </w:pPr>
      <w:r w:rsidRPr="009E627C">
        <w:rPr>
          <w:rFonts w:asciiTheme="minorHAnsi" w:hAnsiTheme="minorHAnsi" w:cstheme="minorHAnsi"/>
          <w:b/>
          <w:bCs/>
          <w:i/>
          <w:iCs/>
          <w:sz w:val="22"/>
          <w:szCs w:val="22"/>
          <w:u w:val="single"/>
        </w:rPr>
        <w:t>Other Bills Passed in Special Session</w:t>
      </w:r>
    </w:p>
    <w:p w14:paraId="65ED4B4E" w14:textId="48FADDEB" w:rsidR="00DA0692" w:rsidRPr="00DA0692" w:rsidRDefault="00DA0692" w:rsidP="00DA0692">
      <w:pPr>
        <w:spacing w:before="140" w:after="140" w:line="240" w:lineRule="auto"/>
        <w:rPr>
          <w:rFonts w:eastAsia="Times New Roman" w:cstheme="minorHAnsi"/>
        </w:rPr>
      </w:pPr>
      <w:r w:rsidRPr="002A2A96">
        <w:rPr>
          <w:rFonts w:eastAsia="Times New Roman" w:cstheme="minorHAnsi"/>
          <w:b/>
          <w:bCs/>
          <w:color w:val="000000"/>
        </w:rPr>
        <w:t xml:space="preserve">Hospital Assessment:  </w:t>
      </w:r>
      <w:hyperlink r:id="rId19" w:history="1">
        <w:r w:rsidRPr="00DA0692">
          <w:rPr>
            <w:rStyle w:val="Hyperlink"/>
          </w:rPr>
          <w:t>SB 2541</w:t>
        </w:r>
      </w:hyperlink>
      <w:r>
        <w:t xml:space="preserve"> </w:t>
      </w:r>
      <w:r w:rsidRPr="002A2A96">
        <w:rPr>
          <w:rFonts w:eastAsia="Times New Roman" w:cstheme="minorHAnsi"/>
          <w:b/>
          <w:bCs/>
          <w:color w:val="000000"/>
        </w:rPr>
        <w:t>(Steans/Harris) </w:t>
      </w:r>
      <w:r>
        <w:rPr>
          <w:rFonts w:eastAsia="Times New Roman" w:cstheme="minorHAnsi"/>
          <w:color w:val="000000"/>
        </w:rPr>
        <w:t xml:space="preserve">contains the language necessary to renew the hospital assessment program in Illinois to enable the state to capture $3.9 billion in federal funds.  This represents an increase of $450 million over previous years.  The assessment bill includes a Medicaid physician rate increase and prioritizes funding for the critical access and safety net hospitals. The hospital transformation piece was removed from the bill and will be worked on in the future.  </w:t>
      </w:r>
    </w:p>
    <w:p w14:paraId="650E0608" w14:textId="16FC3E43" w:rsidR="002A2A96" w:rsidRPr="002A2A96" w:rsidRDefault="00AF2793" w:rsidP="002A2A96">
      <w:pPr>
        <w:pStyle w:val="NormalWeb"/>
        <w:spacing w:before="0" w:beforeAutospacing="0" w:after="0" w:afterAutospacing="0"/>
        <w:rPr>
          <w:rFonts w:asciiTheme="minorHAnsi" w:hAnsiTheme="minorHAnsi" w:cstheme="minorHAnsi"/>
          <w:sz w:val="22"/>
          <w:szCs w:val="22"/>
        </w:rPr>
      </w:pPr>
      <w:hyperlink r:id="rId20" w:history="1">
        <w:r w:rsidRPr="00AF2793">
          <w:rPr>
            <w:rStyle w:val="Hyperlink"/>
            <w:rFonts w:asciiTheme="minorHAnsi" w:hAnsiTheme="minorHAnsi" w:cstheme="minorHAnsi"/>
            <w:sz w:val="22"/>
            <w:szCs w:val="22"/>
          </w:rPr>
          <w:t>SB 471</w:t>
        </w:r>
      </w:hyperlink>
      <w:r>
        <w:t xml:space="preserve"> </w:t>
      </w:r>
      <w:r w:rsidR="00A65EB1" w:rsidRPr="00F67790">
        <w:rPr>
          <w:rFonts w:asciiTheme="minorHAnsi" w:hAnsiTheme="minorHAnsi" w:cstheme="minorHAnsi"/>
          <w:b/>
          <w:bCs/>
          <w:color w:val="000000"/>
          <w:sz w:val="22"/>
          <w:szCs w:val="22"/>
        </w:rPr>
        <w:t>(Lightford/Gordon-Booth)</w:t>
      </w:r>
      <w:r w:rsidR="002A2A96" w:rsidRPr="002A2A96">
        <w:rPr>
          <w:rFonts w:asciiTheme="minorHAnsi" w:hAnsiTheme="minorHAnsi" w:cstheme="minorHAnsi"/>
          <w:color w:val="000000"/>
          <w:sz w:val="22"/>
          <w:szCs w:val="22"/>
        </w:rPr>
        <w:t xml:space="preserve"> </w:t>
      </w:r>
      <w:r w:rsidR="002A2A96">
        <w:rPr>
          <w:rFonts w:asciiTheme="minorHAnsi" w:hAnsiTheme="minorHAnsi" w:cstheme="minorHAnsi"/>
          <w:color w:val="000000"/>
          <w:sz w:val="22"/>
          <w:szCs w:val="22"/>
        </w:rPr>
        <w:t>a</w:t>
      </w:r>
      <w:r w:rsidR="002A2A96" w:rsidRPr="002A2A96">
        <w:rPr>
          <w:rFonts w:asciiTheme="minorHAnsi" w:hAnsiTheme="minorHAnsi" w:cstheme="minorHAnsi"/>
          <w:color w:val="000000"/>
          <w:sz w:val="22"/>
          <w:szCs w:val="22"/>
        </w:rPr>
        <w:t xml:space="preserve">mends the Public Employee Disability Act to create a temporary 60-day extension of paid </w:t>
      </w:r>
      <w:r w:rsidR="001147BC">
        <w:rPr>
          <w:rFonts w:asciiTheme="minorHAnsi" w:hAnsiTheme="minorHAnsi" w:cstheme="minorHAnsi"/>
          <w:color w:val="000000"/>
          <w:sz w:val="22"/>
          <w:szCs w:val="22"/>
        </w:rPr>
        <w:t>disability</w:t>
      </w:r>
      <w:r w:rsidR="002A2A96">
        <w:rPr>
          <w:rFonts w:asciiTheme="minorHAnsi" w:hAnsiTheme="minorHAnsi" w:cstheme="minorHAnsi"/>
          <w:color w:val="000000"/>
          <w:sz w:val="22"/>
          <w:szCs w:val="22"/>
        </w:rPr>
        <w:t xml:space="preserve"> </w:t>
      </w:r>
      <w:r w:rsidR="002A2A96" w:rsidRPr="002A2A96">
        <w:rPr>
          <w:rFonts w:asciiTheme="minorHAnsi" w:hAnsiTheme="minorHAnsi" w:cstheme="minorHAnsi"/>
          <w:color w:val="000000"/>
          <w:sz w:val="22"/>
          <w:szCs w:val="22"/>
        </w:rPr>
        <w:t xml:space="preserve">leave if an employee is injured in the line of duty.  </w:t>
      </w:r>
      <w:r w:rsidR="001147BC">
        <w:rPr>
          <w:rFonts w:asciiTheme="minorHAnsi" w:hAnsiTheme="minorHAnsi" w:cstheme="minorHAnsi"/>
          <w:color w:val="000000"/>
          <w:sz w:val="22"/>
          <w:szCs w:val="22"/>
        </w:rPr>
        <w:t xml:space="preserve">The bill also enacts labor relations provisions for </w:t>
      </w:r>
      <w:r w:rsidR="005E3FBE">
        <w:rPr>
          <w:rFonts w:asciiTheme="minorHAnsi" w:hAnsiTheme="minorHAnsi" w:cstheme="minorHAnsi"/>
          <w:color w:val="000000"/>
          <w:sz w:val="22"/>
          <w:szCs w:val="22"/>
        </w:rPr>
        <w:t>“</w:t>
      </w:r>
      <w:r w:rsidR="001147BC">
        <w:rPr>
          <w:rFonts w:asciiTheme="minorHAnsi" w:hAnsiTheme="minorHAnsi" w:cstheme="minorHAnsi"/>
          <w:color w:val="000000"/>
          <w:sz w:val="22"/>
          <w:szCs w:val="22"/>
        </w:rPr>
        <w:t>racinos</w:t>
      </w:r>
      <w:r w:rsidR="005E3FBE">
        <w:rPr>
          <w:rFonts w:asciiTheme="minorHAnsi" w:hAnsiTheme="minorHAnsi" w:cstheme="minorHAnsi"/>
          <w:color w:val="000000"/>
          <w:sz w:val="22"/>
          <w:szCs w:val="22"/>
        </w:rPr>
        <w:t>”</w:t>
      </w:r>
      <w:r w:rsidR="001147BC">
        <w:rPr>
          <w:rFonts w:asciiTheme="minorHAnsi" w:hAnsiTheme="minorHAnsi" w:cstheme="minorHAnsi"/>
          <w:color w:val="000000"/>
          <w:sz w:val="22"/>
          <w:szCs w:val="22"/>
        </w:rPr>
        <w:t>.</w:t>
      </w:r>
      <w:r w:rsidR="002A2A96" w:rsidRPr="002A2A96">
        <w:rPr>
          <w:rFonts w:asciiTheme="minorHAnsi" w:hAnsiTheme="minorHAnsi" w:cstheme="minorHAnsi"/>
          <w:color w:val="000000"/>
          <w:sz w:val="22"/>
          <w:szCs w:val="22"/>
        </w:rPr>
        <w:t xml:space="preserve">  Finally, the bill increases charges from battery to aggravated battery if the battery occurs when a </w:t>
      </w:r>
      <w:r w:rsidR="00476C3B">
        <w:rPr>
          <w:rFonts w:asciiTheme="minorHAnsi" w:hAnsiTheme="minorHAnsi" w:cstheme="minorHAnsi"/>
          <w:color w:val="000000"/>
          <w:sz w:val="22"/>
          <w:szCs w:val="22"/>
        </w:rPr>
        <w:t>retailer</w:t>
      </w:r>
      <w:r w:rsidR="002A2A96" w:rsidRPr="002A2A96">
        <w:rPr>
          <w:rFonts w:asciiTheme="minorHAnsi" w:hAnsiTheme="minorHAnsi" w:cstheme="minorHAnsi"/>
          <w:color w:val="000000"/>
          <w:sz w:val="22"/>
          <w:szCs w:val="22"/>
        </w:rPr>
        <w:t xml:space="preserve"> or </w:t>
      </w:r>
      <w:r w:rsidR="00476C3B">
        <w:rPr>
          <w:rFonts w:asciiTheme="minorHAnsi" w:hAnsiTheme="minorHAnsi" w:cstheme="minorHAnsi"/>
          <w:color w:val="000000"/>
          <w:sz w:val="22"/>
          <w:szCs w:val="22"/>
        </w:rPr>
        <w:t xml:space="preserve">retail </w:t>
      </w:r>
      <w:r w:rsidR="002A2A96" w:rsidRPr="002A2A96">
        <w:rPr>
          <w:rFonts w:asciiTheme="minorHAnsi" w:hAnsiTheme="minorHAnsi" w:cstheme="minorHAnsi"/>
          <w:color w:val="000000"/>
          <w:sz w:val="22"/>
          <w:szCs w:val="22"/>
        </w:rPr>
        <w:t>employee is giving public health directions during a public health emergency. </w:t>
      </w:r>
    </w:p>
    <w:p w14:paraId="47E29B2B" w14:textId="5809A68D" w:rsidR="00C71DE1" w:rsidRPr="002A2A96" w:rsidRDefault="00C71DE1" w:rsidP="00C71DE1">
      <w:pPr>
        <w:spacing w:before="140" w:after="140" w:line="240" w:lineRule="auto"/>
        <w:rPr>
          <w:rFonts w:eastAsia="Times New Roman" w:cstheme="minorHAnsi"/>
        </w:rPr>
      </w:pPr>
      <w:r w:rsidRPr="002A2A96">
        <w:rPr>
          <w:rFonts w:eastAsia="Times New Roman" w:cstheme="minorHAnsi"/>
          <w:b/>
          <w:bCs/>
          <w:color w:val="000000"/>
        </w:rPr>
        <w:t>Sunset Extensions:</w:t>
      </w:r>
      <w:r w:rsidRPr="002A2A96">
        <w:rPr>
          <w:rFonts w:eastAsia="Times New Roman" w:cstheme="minorHAnsi"/>
          <w:color w:val="000000"/>
        </w:rPr>
        <w:t xml:space="preserve">  Two sunset extension bills passed this week.  </w:t>
      </w:r>
      <w:hyperlink r:id="rId21" w:history="1">
        <w:r w:rsidR="00EF1160" w:rsidRPr="00EF1160">
          <w:rPr>
            <w:rStyle w:val="Hyperlink"/>
          </w:rPr>
          <w:t>HB 2174</w:t>
        </w:r>
      </w:hyperlink>
      <w:r w:rsidR="00EF1160">
        <w:t xml:space="preserve"> </w:t>
      </w:r>
      <w:r w:rsidRPr="00F67790">
        <w:rPr>
          <w:rFonts w:eastAsia="Times New Roman" w:cstheme="minorHAnsi"/>
          <w:b/>
          <w:bCs/>
          <w:color w:val="000000"/>
        </w:rPr>
        <w:t>(Willis/Jones</w:t>
      </w:r>
      <w:r w:rsidR="0081083F" w:rsidRPr="00F67790">
        <w:rPr>
          <w:rFonts w:eastAsia="Times New Roman" w:cstheme="minorHAnsi"/>
          <w:b/>
          <w:bCs/>
          <w:color w:val="000000"/>
        </w:rPr>
        <w:t>)</w:t>
      </w:r>
      <w:r w:rsidR="0081083F">
        <w:rPr>
          <w:rFonts w:eastAsia="Times New Roman" w:cstheme="minorHAnsi"/>
          <w:color w:val="000000"/>
        </w:rPr>
        <w:t xml:space="preserve"> </w:t>
      </w:r>
      <w:r w:rsidRPr="002A2A96">
        <w:rPr>
          <w:rFonts w:eastAsia="Times New Roman" w:cstheme="minorHAnsi"/>
          <w:color w:val="000000"/>
        </w:rPr>
        <w:t xml:space="preserve">grants a one-year extension for various regulatory acts that were set to expire this year.  Sunset extensions include the Transportation Network Provider Act, the telecommunications and video sunsets and the 911 sunset. The bill also delays the implementation of the hotel panic button legislation.  </w:t>
      </w:r>
      <w:hyperlink r:id="rId22" w:history="1">
        <w:r w:rsidR="00EF1160" w:rsidRPr="00EF1160">
          <w:rPr>
            <w:rStyle w:val="Hyperlink"/>
          </w:rPr>
          <w:t>SB 1857</w:t>
        </w:r>
      </w:hyperlink>
      <w:r w:rsidR="00EF1160">
        <w:t xml:space="preserve"> </w:t>
      </w:r>
      <w:r w:rsidRPr="002A2A96">
        <w:rPr>
          <w:rFonts w:eastAsia="Times New Roman" w:cstheme="minorHAnsi"/>
          <w:color w:val="000000"/>
        </w:rPr>
        <w:t>(</w:t>
      </w:r>
      <w:r w:rsidRPr="00F67790">
        <w:rPr>
          <w:rFonts w:eastAsia="Times New Roman" w:cstheme="minorHAnsi"/>
          <w:b/>
          <w:bCs/>
          <w:color w:val="000000"/>
        </w:rPr>
        <w:t>Koehler/Burke)</w:t>
      </w:r>
      <w:r w:rsidRPr="002A2A96">
        <w:rPr>
          <w:rFonts w:eastAsia="Times New Roman" w:cstheme="minorHAnsi"/>
          <w:color w:val="000000"/>
        </w:rPr>
        <w:t xml:space="preserve"> extends for one-year various sunsets and deadlines that were set to expire.  Deadline extensions include the sale of the Thompson Center in Chicago, the deadline for the Alzheimer’s research lottery scratch off, the deadline for the Criminal and Traffic Assessment Act and the Cook County Fee Waiver Program.</w:t>
      </w:r>
    </w:p>
    <w:p w14:paraId="5B67A5B3" w14:textId="7126B831" w:rsidR="00C71DE1" w:rsidRPr="002A2A96" w:rsidRDefault="00C71DE1" w:rsidP="00C71DE1">
      <w:pPr>
        <w:spacing w:before="140" w:after="140" w:line="240" w:lineRule="auto"/>
        <w:rPr>
          <w:rFonts w:eastAsia="Times New Roman" w:cstheme="minorHAnsi"/>
        </w:rPr>
      </w:pPr>
      <w:r w:rsidRPr="002A2A96">
        <w:rPr>
          <w:rFonts w:eastAsia="Times New Roman" w:cstheme="minorHAnsi"/>
          <w:b/>
          <w:bCs/>
          <w:color w:val="000000"/>
        </w:rPr>
        <w:t>Omnibus Education:</w:t>
      </w:r>
      <w:r w:rsidRPr="002A2A96">
        <w:rPr>
          <w:rFonts w:eastAsia="Times New Roman" w:cstheme="minorHAnsi"/>
          <w:color w:val="000000"/>
        </w:rPr>
        <w:t xml:space="preserve">  </w:t>
      </w:r>
      <w:hyperlink r:id="rId23" w:history="1">
        <w:r w:rsidR="00EF1160" w:rsidRPr="00EF1160">
          <w:rPr>
            <w:rStyle w:val="Hyperlink"/>
          </w:rPr>
          <w:t>SB 1569</w:t>
        </w:r>
      </w:hyperlink>
      <w:r w:rsidR="00EF1160">
        <w:t xml:space="preserve"> </w:t>
      </w:r>
      <w:r w:rsidRPr="00F67790">
        <w:rPr>
          <w:rFonts w:eastAsia="Times New Roman" w:cstheme="minorHAnsi"/>
          <w:b/>
          <w:bCs/>
          <w:color w:val="000000"/>
        </w:rPr>
        <w:t>(Rezin/</w:t>
      </w:r>
      <w:r w:rsidR="00D760CC" w:rsidRPr="00F67790">
        <w:rPr>
          <w:rFonts w:eastAsia="Times New Roman" w:cstheme="minorHAnsi"/>
          <w:b/>
          <w:bCs/>
          <w:color w:val="000000"/>
        </w:rPr>
        <w:t>Davis</w:t>
      </w:r>
      <w:r w:rsidRPr="00F67790">
        <w:rPr>
          <w:rFonts w:eastAsia="Times New Roman" w:cstheme="minorHAnsi"/>
          <w:b/>
          <w:bCs/>
          <w:color w:val="000000"/>
        </w:rPr>
        <w:t>)</w:t>
      </w:r>
      <w:r w:rsidRPr="002A2A96">
        <w:rPr>
          <w:rFonts w:eastAsia="Times New Roman" w:cstheme="minorHAnsi"/>
          <w:color w:val="000000"/>
        </w:rPr>
        <w:t xml:space="preserve"> makes K-12 and higher education related changes in response the pandemic.  This bill addresses remote learning days, student teacher requirements, graduation requirements and other education related items.  At the higher education level, the bill addresses AIM High and articulation with respect to pass/fail classes. In essence, the bill codifies many of the education emergency rules put into effect in response to the pandemic. </w:t>
      </w:r>
    </w:p>
    <w:p w14:paraId="324C9F24" w14:textId="6C0F45EA" w:rsidR="00C71DE1" w:rsidRPr="002A2A96" w:rsidRDefault="00C71DE1" w:rsidP="00C71DE1">
      <w:pPr>
        <w:spacing w:before="140" w:after="140" w:line="240" w:lineRule="auto"/>
        <w:rPr>
          <w:rFonts w:eastAsia="Times New Roman" w:cstheme="minorHAnsi"/>
        </w:rPr>
      </w:pPr>
      <w:r w:rsidRPr="002A2A96">
        <w:rPr>
          <w:rFonts w:eastAsia="Times New Roman" w:cstheme="minorHAnsi"/>
          <w:b/>
          <w:bCs/>
          <w:color w:val="000000"/>
        </w:rPr>
        <w:t>Omnibus Election Bill</w:t>
      </w:r>
      <w:r w:rsidRPr="002A2A96">
        <w:rPr>
          <w:rFonts w:eastAsia="Times New Roman" w:cstheme="minorHAnsi"/>
          <w:color w:val="000000"/>
        </w:rPr>
        <w:t xml:space="preserve">: </w:t>
      </w:r>
      <w:hyperlink r:id="rId24" w:history="1">
        <w:r w:rsidR="00EF1160" w:rsidRPr="00DA0692">
          <w:rPr>
            <w:rStyle w:val="Hyperlink"/>
          </w:rPr>
          <w:t>SB 1863</w:t>
        </w:r>
      </w:hyperlink>
      <w:r w:rsidR="00EF1160">
        <w:t xml:space="preserve"> </w:t>
      </w:r>
      <w:r w:rsidRPr="00F67790">
        <w:rPr>
          <w:rFonts w:eastAsia="Times New Roman" w:cstheme="minorHAnsi"/>
          <w:b/>
          <w:bCs/>
          <w:color w:val="000000"/>
        </w:rPr>
        <w:t>(Morrison/Burke)</w:t>
      </w:r>
      <w:r w:rsidRPr="002A2A96">
        <w:rPr>
          <w:rFonts w:eastAsia="Times New Roman" w:cstheme="minorHAnsi"/>
          <w:color w:val="000000"/>
        </w:rPr>
        <w:t xml:space="preserve"> is an omnibus election bill that expands vote by mail for the 2020 General Election due to the COVID pandemic. The sponsor indicated the legislation tries to balance public health while allowing for robust voter participation.  SB 1863 creates the Conduct of the 2020 General Election Article in the Code. For the 2020 general election, provides for changes to vote by mail, first time registrants and changes of address for registrants, the public dissemination of information for the 2020 general election, early voting and election day requirements, judges of election, electronic service of objections, additional duties of election authorities and the State Board of Elections. Establishes November 3, 2020 as a State holiday for schools and certain university employees so that they may be used as polling places.  Provides that all government offices (with the exception of election authorities) shall be closed unless authorized to be used as a location for election day services </w:t>
      </w:r>
      <w:r w:rsidRPr="002A2A96">
        <w:rPr>
          <w:rFonts w:eastAsia="Times New Roman" w:cstheme="minorHAnsi"/>
          <w:color w:val="000000"/>
        </w:rPr>
        <w:lastRenderedPageBreak/>
        <w:t>or as a polling place. Provides the State Board of Elections with emergency rulemaking authority. Repeals the Article on January 1, 2021.</w:t>
      </w:r>
    </w:p>
    <w:p w14:paraId="4081FD1F" w14:textId="7930CE4B" w:rsidR="00C71DE1" w:rsidRPr="002A2A96" w:rsidRDefault="00DA0692" w:rsidP="00C71DE1">
      <w:pPr>
        <w:spacing w:before="140" w:after="140" w:line="240" w:lineRule="auto"/>
        <w:rPr>
          <w:rFonts w:eastAsia="Times New Roman" w:cstheme="minorHAnsi"/>
        </w:rPr>
      </w:pPr>
      <w:hyperlink r:id="rId25" w:history="1">
        <w:r w:rsidRPr="00DA0692">
          <w:rPr>
            <w:rStyle w:val="Hyperlink"/>
          </w:rPr>
          <w:t>HB 2238</w:t>
        </w:r>
      </w:hyperlink>
      <w:r>
        <w:t xml:space="preserve"> </w:t>
      </w:r>
      <w:r w:rsidR="00C71DE1" w:rsidRPr="00265E99">
        <w:rPr>
          <w:rFonts w:eastAsia="Times New Roman" w:cstheme="minorHAnsi"/>
          <w:b/>
          <w:bCs/>
          <w:color w:val="000000"/>
        </w:rPr>
        <w:t>(Burke/Martinez)</w:t>
      </w:r>
      <w:r w:rsidR="00C71DE1" w:rsidRPr="002A2A96">
        <w:rPr>
          <w:rFonts w:eastAsia="Times New Roman" w:cstheme="minorHAnsi"/>
          <w:color w:val="000000"/>
        </w:rPr>
        <w:t xml:space="preserve"> </w:t>
      </w:r>
      <w:r w:rsidR="002A2A96">
        <w:rPr>
          <w:rFonts w:eastAsia="Times New Roman" w:cstheme="minorHAnsi"/>
          <w:color w:val="000000"/>
        </w:rPr>
        <w:t xml:space="preserve">is a </w:t>
      </w:r>
      <w:r w:rsidR="00C71DE1" w:rsidRPr="002A2A96">
        <w:rPr>
          <w:rFonts w:eastAsia="Times New Roman" w:cstheme="minorHAnsi"/>
          <w:color w:val="000000"/>
        </w:rPr>
        <w:t>trailer bill</w:t>
      </w:r>
      <w:r w:rsidR="002A2A96">
        <w:rPr>
          <w:rFonts w:eastAsia="Times New Roman" w:cstheme="minorHAnsi"/>
          <w:color w:val="000000"/>
        </w:rPr>
        <w:t xml:space="preserve"> to SB 1863 and makes </w:t>
      </w:r>
      <w:r w:rsidR="00265E99">
        <w:rPr>
          <w:rFonts w:eastAsia="Times New Roman" w:cstheme="minorHAnsi"/>
          <w:color w:val="000000"/>
        </w:rPr>
        <w:t xml:space="preserve">various changes to how many election judges are needed to </w:t>
      </w:r>
      <w:r w:rsidR="007E06C8">
        <w:rPr>
          <w:rFonts w:eastAsia="Times New Roman" w:cstheme="minorHAnsi"/>
          <w:color w:val="000000"/>
        </w:rPr>
        <w:t>determine the validity of</w:t>
      </w:r>
      <w:r w:rsidR="00265E99">
        <w:rPr>
          <w:rFonts w:eastAsia="Times New Roman" w:cstheme="minorHAnsi"/>
          <w:color w:val="000000"/>
        </w:rPr>
        <w:t xml:space="preserve"> certain mail in ballots</w:t>
      </w:r>
      <w:r w:rsidR="007E06C8">
        <w:rPr>
          <w:rFonts w:eastAsia="Times New Roman" w:cstheme="minorHAnsi"/>
          <w:color w:val="000000"/>
        </w:rPr>
        <w:t xml:space="preserve"> and adds a provision that lock boxes for drop off ballots must be secured with a lock</w:t>
      </w:r>
      <w:r w:rsidR="00265E99">
        <w:rPr>
          <w:rFonts w:eastAsia="Times New Roman" w:cstheme="minorHAnsi"/>
          <w:color w:val="000000"/>
        </w:rPr>
        <w:t>.</w:t>
      </w:r>
      <w:r w:rsidR="007E06C8">
        <w:rPr>
          <w:rFonts w:eastAsia="Times New Roman" w:cstheme="minorHAnsi"/>
          <w:color w:val="000000"/>
        </w:rPr>
        <w:t xml:space="preserve">  </w:t>
      </w:r>
    </w:p>
    <w:p w14:paraId="3D37DE1A" w14:textId="3CF9679E" w:rsidR="00C71DE1" w:rsidRPr="002A2A96" w:rsidRDefault="00C71DE1" w:rsidP="00C71DE1">
      <w:pPr>
        <w:spacing w:before="140" w:after="140" w:line="240" w:lineRule="auto"/>
        <w:rPr>
          <w:rFonts w:eastAsia="Times New Roman" w:cstheme="minorHAnsi"/>
        </w:rPr>
      </w:pPr>
      <w:r w:rsidRPr="002A2A96">
        <w:rPr>
          <w:rFonts w:eastAsia="Times New Roman" w:cstheme="minorHAnsi"/>
          <w:b/>
          <w:bCs/>
          <w:color w:val="000000"/>
        </w:rPr>
        <w:t>TIF Extensions</w:t>
      </w:r>
      <w:r w:rsidR="00D760CC">
        <w:rPr>
          <w:rFonts w:eastAsia="Times New Roman" w:cstheme="minorHAnsi"/>
          <w:b/>
          <w:bCs/>
          <w:color w:val="000000"/>
        </w:rPr>
        <w:t xml:space="preserve">: </w:t>
      </w:r>
      <w:hyperlink r:id="rId26" w:history="1">
        <w:r w:rsidR="00DA0692" w:rsidRPr="00DA0692">
          <w:rPr>
            <w:rStyle w:val="Hyperlink"/>
          </w:rPr>
          <w:t>SB 2052</w:t>
        </w:r>
      </w:hyperlink>
      <w:r w:rsidR="00DA0692">
        <w:t xml:space="preserve"> </w:t>
      </w:r>
      <w:r w:rsidRPr="002A2A96">
        <w:rPr>
          <w:rFonts w:eastAsia="Times New Roman" w:cstheme="minorHAnsi"/>
          <w:color w:val="000000"/>
        </w:rPr>
        <w:t>(</w:t>
      </w:r>
      <w:proofErr w:type="spellStart"/>
      <w:r w:rsidRPr="002A2A96">
        <w:rPr>
          <w:rFonts w:eastAsia="Times New Roman" w:cstheme="minorHAnsi"/>
          <w:b/>
          <w:bCs/>
          <w:color w:val="000000"/>
        </w:rPr>
        <w:t>Stadelman</w:t>
      </w:r>
      <w:proofErr w:type="spellEnd"/>
      <w:r w:rsidRPr="002A2A96">
        <w:rPr>
          <w:rFonts w:eastAsia="Times New Roman" w:cstheme="minorHAnsi"/>
          <w:b/>
          <w:bCs/>
          <w:color w:val="000000"/>
        </w:rPr>
        <w:t>/Welch</w:t>
      </w:r>
      <w:r w:rsidRPr="002A2A96">
        <w:rPr>
          <w:rFonts w:eastAsia="Times New Roman" w:cstheme="minorHAnsi"/>
          <w:color w:val="000000"/>
        </w:rPr>
        <w:t xml:space="preserve">) </w:t>
      </w:r>
      <w:r w:rsidR="00BC59F6">
        <w:rPr>
          <w:rFonts w:eastAsia="Times New Roman" w:cstheme="minorHAnsi"/>
          <w:color w:val="000000"/>
        </w:rPr>
        <w:t xml:space="preserve"> e</w:t>
      </w:r>
      <w:r w:rsidRPr="002A2A96">
        <w:rPr>
          <w:rFonts w:eastAsia="Times New Roman" w:cstheme="minorHAnsi"/>
          <w:color w:val="000000"/>
        </w:rPr>
        <w:t xml:space="preserve">xtends </w:t>
      </w:r>
      <w:r w:rsidR="0054279B">
        <w:rPr>
          <w:rFonts w:eastAsia="Times New Roman" w:cstheme="minorHAnsi"/>
          <w:color w:val="000000"/>
        </w:rPr>
        <w:t>various TIF</w:t>
      </w:r>
      <w:r w:rsidR="00D760CC">
        <w:rPr>
          <w:rFonts w:eastAsia="Times New Roman" w:cstheme="minorHAnsi"/>
          <w:color w:val="000000"/>
        </w:rPr>
        <w:t>s</w:t>
      </w:r>
      <w:r w:rsidR="0054279B">
        <w:rPr>
          <w:rFonts w:eastAsia="Times New Roman" w:cstheme="minorHAnsi"/>
          <w:color w:val="000000"/>
        </w:rPr>
        <w:t xml:space="preserve"> throughout the state. </w:t>
      </w:r>
      <w:r w:rsidR="00A52CA7">
        <w:rPr>
          <w:rFonts w:eastAsia="Times New Roman" w:cstheme="minorHAnsi"/>
          <w:color w:val="000000"/>
        </w:rPr>
        <w:t xml:space="preserve"> </w:t>
      </w:r>
    </w:p>
    <w:p w14:paraId="23505926" w14:textId="2B409810" w:rsidR="00C71DE1" w:rsidRPr="002A2A96" w:rsidRDefault="00C71DE1" w:rsidP="00C71DE1">
      <w:pPr>
        <w:spacing w:before="140" w:after="140" w:line="240" w:lineRule="auto"/>
        <w:rPr>
          <w:rFonts w:eastAsia="Times New Roman" w:cstheme="minorHAnsi"/>
        </w:rPr>
      </w:pPr>
      <w:r w:rsidRPr="002A2A96">
        <w:rPr>
          <w:rFonts w:eastAsia="Times New Roman" w:cstheme="minorHAnsi"/>
          <w:b/>
          <w:bCs/>
          <w:color w:val="000000"/>
        </w:rPr>
        <w:t>School Debt Limitations:</w:t>
      </w:r>
      <w:r w:rsidRPr="002A2A96">
        <w:rPr>
          <w:rFonts w:eastAsia="Times New Roman" w:cstheme="minorHAnsi"/>
          <w:color w:val="000000"/>
        </w:rPr>
        <w:t xml:space="preserve">  </w:t>
      </w:r>
      <w:hyperlink r:id="rId27" w:history="1">
        <w:r w:rsidR="00DA0692" w:rsidRPr="00DA0692">
          <w:rPr>
            <w:rStyle w:val="Hyperlink"/>
          </w:rPr>
          <w:t>SB 1937</w:t>
        </w:r>
      </w:hyperlink>
      <w:r w:rsidR="00DA0692">
        <w:t xml:space="preserve"> </w:t>
      </w:r>
      <w:r w:rsidRPr="00F67790">
        <w:rPr>
          <w:rFonts w:eastAsia="Times New Roman" w:cstheme="minorHAnsi"/>
          <w:b/>
          <w:bCs/>
          <w:color w:val="000000"/>
        </w:rPr>
        <w:t>(Manar/Welch</w:t>
      </w:r>
      <w:r w:rsidRPr="002A2A96">
        <w:rPr>
          <w:rFonts w:eastAsia="Times New Roman" w:cstheme="minorHAnsi"/>
          <w:color w:val="000000"/>
        </w:rPr>
        <w:t xml:space="preserve">) Extends the debt limitations for </w:t>
      </w:r>
      <w:r w:rsidR="0054279B">
        <w:rPr>
          <w:rFonts w:eastAsia="Times New Roman" w:cstheme="minorHAnsi"/>
          <w:color w:val="000000"/>
        </w:rPr>
        <w:t>various</w:t>
      </w:r>
      <w:r w:rsidRPr="002A2A96">
        <w:rPr>
          <w:rFonts w:eastAsia="Times New Roman" w:cstheme="minorHAnsi"/>
          <w:color w:val="000000"/>
        </w:rPr>
        <w:t xml:space="preserve"> school districts. </w:t>
      </w:r>
    </w:p>
    <w:p w14:paraId="3DC3C871" w14:textId="180FB678" w:rsidR="0067699A" w:rsidRDefault="008352E4" w:rsidP="00C71DE1">
      <w:pPr>
        <w:spacing w:before="140" w:after="140" w:line="240" w:lineRule="auto"/>
        <w:rPr>
          <w:rFonts w:eastAsia="Times New Roman" w:cstheme="minorHAnsi"/>
          <w:b/>
          <w:bCs/>
          <w:color w:val="000000"/>
        </w:rPr>
      </w:pPr>
      <w:r>
        <w:rPr>
          <w:rFonts w:eastAsia="Times New Roman" w:cstheme="minorHAnsi"/>
          <w:b/>
          <w:bCs/>
          <w:color w:val="000000"/>
        </w:rPr>
        <w:t xml:space="preserve">COVID-19 </w:t>
      </w:r>
      <w:r w:rsidR="0067699A">
        <w:rPr>
          <w:rFonts w:eastAsia="Times New Roman" w:cstheme="minorHAnsi"/>
          <w:b/>
          <w:bCs/>
          <w:color w:val="000000"/>
        </w:rPr>
        <w:t xml:space="preserve">Liquor </w:t>
      </w:r>
      <w:r>
        <w:rPr>
          <w:rFonts w:eastAsia="Times New Roman" w:cstheme="minorHAnsi"/>
          <w:b/>
          <w:bCs/>
          <w:color w:val="000000"/>
        </w:rPr>
        <w:t>Response</w:t>
      </w:r>
      <w:r w:rsidR="0067699A">
        <w:rPr>
          <w:rFonts w:eastAsia="Times New Roman" w:cstheme="minorHAnsi"/>
          <w:b/>
          <w:bCs/>
          <w:color w:val="000000"/>
        </w:rPr>
        <w:t xml:space="preserve">:  </w:t>
      </w:r>
      <w:hyperlink r:id="rId28" w:history="1">
        <w:r w:rsidR="0067699A">
          <w:rPr>
            <w:rStyle w:val="Hyperlink"/>
          </w:rPr>
          <w:t xml:space="preserve">HB 2682 </w:t>
        </w:r>
      </w:hyperlink>
      <w:r w:rsidR="0067699A" w:rsidRPr="00F67790">
        <w:rPr>
          <w:b/>
          <w:bCs/>
        </w:rPr>
        <w:t>(</w:t>
      </w:r>
      <w:proofErr w:type="spellStart"/>
      <w:r w:rsidR="0067699A" w:rsidRPr="00F67790">
        <w:rPr>
          <w:b/>
          <w:bCs/>
        </w:rPr>
        <w:t>Zalewski</w:t>
      </w:r>
      <w:proofErr w:type="spellEnd"/>
      <w:r w:rsidR="0067699A" w:rsidRPr="00F67790">
        <w:rPr>
          <w:b/>
          <w:bCs/>
        </w:rPr>
        <w:t>/Feigenholtz)</w:t>
      </w:r>
      <w:r w:rsidR="0067699A">
        <w:t xml:space="preserve"> </w:t>
      </w:r>
      <w:r>
        <w:t xml:space="preserve">allows bars and restaurants to </w:t>
      </w:r>
      <w:r w:rsidR="00F14D89">
        <w:t>provide cocktail sales</w:t>
      </w:r>
      <w:r w:rsidR="00C45888">
        <w:t xml:space="preserve"> to-go</w:t>
      </w:r>
      <w:r>
        <w:t xml:space="preserve">.  The bill also provides some temporary filing fee relief. The </w:t>
      </w:r>
      <w:r w:rsidR="00F14D89">
        <w:t>provisions are</w:t>
      </w:r>
      <w:r>
        <w:t xml:space="preserve"> repealed in one year. </w:t>
      </w:r>
    </w:p>
    <w:p w14:paraId="5C78C824" w14:textId="730901F9" w:rsidR="00C71DE1" w:rsidRPr="002A2A96" w:rsidRDefault="00C71DE1" w:rsidP="00C71DE1">
      <w:pPr>
        <w:spacing w:before="140" w:after="140" w:line="240" w:lineRule="auto"/>
        <w:rPr>
          <w:rFonts w:eastAsia="Times New Roman" w:cstheme="minorHAnsi"/>
        </w:rPr>
      </w:pPr>
      <w:r w:rsidRPr="002A2A96">
        <w:rPr>
          <w:rFonts w:eastAsia="Times New Roman" w:cstheme="minorHAnsi"/>
          <w:b/>
          <w:bCs/>
          <w:color w:val="000000"/>
        </w:rPr>
        <w:t>COVID-19 Local Government Response:</w:t>
      </w:r>
      <w:r w:rsidRPr="002A2A96">
        <w:rPr>
          <w:rFonts w:eastAsia="Times New Roman" w:cstheme="minorHAnsi"/>
          <w:color w:val="000000"/>
        </w:rPr>
        <w:t xml:space="preserve">  </w:t>
      </w:r>
      <w:hyperlink r:id="rId29" w:history="1">
        <w:r w:rsidR="00DA0692" w:rsidRPr="00DA0692">
          <w:rPr>
            <w:rStyle w:val="Hyperlink"/>
          </w:rPr>
          <w:t>HB 2096</w:t>
        </w:r>
      </w:hyperlink>
      <w:r w:rsidR="00DA0692">
        <w:t xml:space="preserve"> </w:t>
      </w:r>
      <w:r w:rsidRPr="00F67790">
        <w:rPr>
          <w:rFonts w:eastAsia="Times New Roman" w:cstheme="minorHAnsi"/>
          <w:b/>
          <w:bCs/>
          <w:color w:val="000000"/>
        </w:rPr>
        <w:t>(Willis/Murphy)</w:t>
      </w:r>
      <w:r w:rsidRPr="002A2A96">
        <w:rPr>
          <w:rFonts w:eastAsia="Times New Roman" w:cstheme="minorHAnsi"/>
          <w:color w:val="000000"/>
        </w:rPr>
        <w:t xml:space="preserve"> is an omnibus local government bill.  Allows a township board to postpone its annual meeting during the period of a Gubernatorial disaster declaration and clarifies that rebates under CARES Act do not count as earned income for the purposes of township assistance.  The bill creates the Cards for Kids Act which provides that nonresident fees for the privilege and use of a library shall not be charged to a nonresident in an unincorporated area in Illinois who is a student whose household falls at or below the U.S. Department of Agriculture's Income Eligibility Guidelines. </w:t>
      </w:r>
    </w:p>
    <w:p w14:paraId="20A2F5E8" w14:textId="285A024B" w:rsidR="00C71DE1" w:rsidRPr="0054279B" w:rsidRDefault="001147BC" w:rsidP="00C71DE1">
      <w:pPr>
        <w:spacing w:before="140" w:after="140" w:line="240" w:lineRule="auto"/>
        <w:rPr>
          <w:rFonts w:eastAsia="Times New Roman" w:cstheme="minorHAnsi"/>
          <w:highlight w:val="yellow"/>
        </w:rPr>
      </w:pPr>
      <w:r w:rsidRPr="001147BC">
        <w:rPr>
          <w:rFonts w:eastAsia="Times New Roman" w:cstheme="minorHAnsi"/>
          <w:b/>
          <w:bCs/>
        </w:rPr>
        <w:t>Toll Bridge:</w:t>
      </w:r>
      <w:r>
        <w:rPr>
          <w:rFonts w:eastAsia="Times New Roman" w:cstheme="minorHAnsi"/>
        </w:rPr>
        <w:t xml:space="preserve">  </w:t>
      </w:r>
      <w:hyperlink r:id="rId30" w:history="1">
        <w:r w:rsidR="00DA0692" w:rsidRPr="00DA0692">
          <w:rPr>
            <w:rStyle w:val="Hyperlink"/>
          </w:rPr>
          <w:t>SB 531</w:t>
        </w:r>
      </w:hyperlink>
      <w:r w:rsidR="00DA0692">
        <w:t xml:space="preserve"> </w:t>
      </w:r>
      <w:r w:rsidR="00C71DE1" w:rsidRPr="00F67790">
        <w:rPr>
          <w:rFonts w:eastAsia="Times New Roman" w:cstheme="minorHAnsi"/>
          <w:b/>
          <w:bCs/>
          <w:color w:val="000000"/>
        </w:rPr>
        <w:t>(Harmon/Willis)</w:t>
      </w:r>
      <w:r w:rsidRPr="001147BC">
        <w:rPr>
          <w:rFonts w:eastAsia="Times New Roman" w:cstheme="minorHAnsi"/>
          <w:color w:val="000000"/>
        </w:rPr>
        <w:t xml:space="preserve"> </w:t>
      </w:r>
      <w:r>
        <w:t>Amends the Toll Bridge Act. Provides that a county board may alter and change the rates of toll by entering into an agreement establishing a toll rate schedule for a period not to exceed 99 years.</w:t>
      </w:r>
      <w:r w:rsidR="007A712E">
        <w:t xml:space="preserve">  The language was requested by the Will County State’s Attorney in regards to the toll bridge over the Des Plaines River.</w:t>
      </w:r>
    </w:p>
    <w:p w14:paraId="0DE06ED8" w14:textId="26FF3687" w:rsidR="008F1C28" w:rsidRPr="00C20B89" w:rsidRDefault="008F1C28" w:rsidP="00C20B89">
      <w:pPr>
        <w:pStyle w:val="NormalWeb"/>
        <w:rPr>
          <w:rFonts w:asciiTheme="minorHAnsi" w:hAnsiTheme="minorHAnsi" w:cstheme="minorHAnsi"/>
          <w:sz w:val="22"/>
          <w:szCs w:val="22"/>
        </w:rPr>
      </w:pPr>
      <w:r w:rsidRPr="008F1C28">
        <w:rPr>
          <w:rFonts w:asciiTheme="minorHAnsi" w:hAnsiTheme="minorHAnsi" w:cstheme="minorHAnsi"/>
          <w:b/>
          <w:bCs/>
          <w:color w:val="000000"/>
          <w:sz w:val="22"/>
          <w:szCs w:val="22"/>
        </w:rPr>
        <w:t xml:space="preserve">Gaming:  </w:t>
      </w:r>
      <w:hyperlink r:id="rId31" w:history="1">
        <w:r w:rsidR="00DA0692" w:rsidRPr="00DA0692">
          <w:rPr>
            <w:rStyle w:val="Hyperlink"/>
            <w:rFonts w:asciiTheme="minorHAnsi" w:hAnsiTheme="minorHAnsi" w:cstheme="minorHAnsi"/>
            <w:sz w:val="22"/>
            <w:szCs w:val="22"/>
          </w:rPr>
          <w:t>SB 516</w:t>
        </w:r>
      </w:hyperlink>
      <w:r w:rsidR="00DA0692">
        <w:t xml:space="preserve"> </w:t>
      </w:r>
      <w:r w:rsidR="00C20B89">
        <w:rPr>
          <w:rFonts w:asciiTheme="minorHAnsi" w:hAnsiTheme="minorHAnsi" w:cstheme="minorHAnsi"/>
          <w:b/>
          <w:bCs/>
          <w:color w:val="000000"/>
          <w:sz w:val="22"/>
          <w:szCs w:val="22"/>
        </w:rPr>
        <w:t>(</w:t>
      </w:r>
      <w:r w:rsidR="00C03AB5">
        <w:rPr>
          <w:rFonts w:asciiTheme="minorHAnsi" w:hAnsiTheme="minorHAnsi" w:cstheme="minorHAnsi"/>
          <w:b/>
          <w:bCs/>
          <w:color w:val="000000"/>
          <w:sz w:val="22"/>
          <w:szCs w:val="22"/>
        </w:rPr>
        <w:t>Cunningham</w:t>
      </w:r>
      <w:r w:rsidR="00C20B89">
        <w:rPr>
          <w:rFonts w:asciiTheme="minorHAnsi" w:hAnsiTheme="minorHAnsi" w:cstheme="minorHAnsi"/>
          <w:b/>
          <w:bCs/>
          <w:color w:val="000000"/>
          <w:sz w:val="22"/>
          <w:szCs w:val="22"/>
        </w:rPr>
        <w:t xml:space="preserve">/Rita) </w:t>
      </w:r>
      <w:r w:rsidR="00C20B89">
        <w:rPr>
          <w:rFonts w:asciiTheme="minorHAnsi" w:hAnsiTheme="minorHAnsi" w:cstheme="minorHAnsi"/>
          <w:color w:val="000000"/>
          <w:sz w:val="22"/>
          <w:szCs w:val="22"/>
        </w:rPr>
        <w:t>makes</w:t>
      </w:r>
      <w:r w:rsidR="00A52CA7">
        <w:rPr>
          <w:rFonts w:asciiTheme="minorHAnsi" w:hAnsiTheme="minorHAnsi" w:cstheme="minorHAnsi"/>
          <w:color w:val="000000"/>
          <w:sz w:val="22"/>
          <w:szCs w:val="22"/>
        </w:rPr>
        <w:t xml:space="preserve"> various</w:t>
      </w:r>
      <w:r w:rsidR="00C20B89">
        <w:rPr>
          <w:rFonts w:asciiTheme="minorHAnsi" w:hAnsiTheme="minorHAnsi" w:cstheme="minorHAnsi"/>
          <w:color w:val="000000"/>
          <w:sz w:val="22"/>
          <w:szCs w:val="22"/>
        </w:rPr>
        <w:t xml:space="preserve"> changes to the gaming bill passed last year.  </w:t>
      </w:r>
      <w:r w:rsidR="00C20B89">
        <w:rPr>
          <w:rFonts w:asciiTheme="minorHAnsi" w:hAnsiTheme="minorHAnsi" w:cstheme="minorHAnsi"/>
          <w:sz w:val="22"/>
          <w:szCs w:val="22"/>
        </w:rPr>
        <w:t>SB 516 extends the time that casino operators have to pay the reconciliation fee from 2 to 6 years.  The bill also reduces the tax rates for the Chicago casino</w:t>
      </w:r>
      <w:r w:rsidR="00C03AB5">
        <w:rPr>
          <w:rFonts w:asciiTheme="minorHAnsi" w:hAnsiTheme="minorHAnsi" w:cstheme="minorHAnsi"/>
          <w:sz w:val="22"/>
          <w:szCs w:val="22"/>
        </w:rPr>
        <w:t xml:space="preserve"> and makes </w:t>
      </w:r>
      <w:r w:rsidR="00BC59F6">
        <w:rPr>
          <w:rFonts w:asciiTheme="minorHAnsi" w:hAnsiTheme="minorHAnsi" w:cstheme="minorHAnsi"/>
          <w:sz w:val="22"/>
          <w:szCs w:val="22"/>
        </w:rPr>
        <w:t>a technical fix for the Danville casino.</w:t>
      </w:r>
      <w:r w:rsidR="00907F55">
        <w:rPr>
          <w:rFonts w:asciiTheme="minorHAnsi" w:hAnsiTheme="minorHAnsi" w:cstheme="minorHAnsi"/>
          <w:sz w:val="22"/>
          <w:szCs w:val="22"/>
        </w:rPr>
        <w:t xml:space="preserve">  Due to the pandemic, moves </w:t>
      </w:r>
      <w:r w:rsidR="003C5778">
        <w:rPr>
          <w:rFonts w:asciiTheme="minorHAnsi" w:hAnsiTheme="minorHAnsi" w:cstheme="minorHAnsi"/>
          <w:sz w:val="22"/>
          <w:szCs w:val="22"/>
        </w:rPr>
        <w:t xml:space="preserve">the </w:t>
      </w:r>
      <w:r w:rsidR="00907F55">
        <w:rPr>
          <w:rFonts w:asciiTheme="minorHAnsi" w:hAnsiTheme="minorHAnsi" w:cstheme="minorHAnsi"/>
          <w:sz w:val="22"/>
          <w:szCs w:val="22"/>
        </w:rPr>
        <w:t xml:space="preserve">due date for fees for </w:t>
      </w:r>
      <w:r w:rsidR="005F593A">
        <w:rPr>
          <w:rFonts w:asciiTheme="minorHAnsi" w:hAnsiTheme="minorHAnsi" w:cstheme="minorHAnsi"/>
          <w:sz w:val="22"/>
          <w:szCs w:val="22"/>
        </w:rPr>
        <w:t xml:space="preserve">gaming and </w:t>
      </w:r>
      <w:r w:rsidR="00907F55">
        <w:rPr>
          <w:rFonts w:asciiTheme="minorHAnsi" w:hAnsiTheme="minorHAnsi" w:cstheme="minorHAnsi"/>
          <w:sz w:val="22"/>
          <w:szCs w:val="22"/>
        </w:rPr>
        <w:t xml:space="preserve">sports betting license and positions from July 1, 2020 to July 1, 2021. </w:t>
      </w:r>
      <w:r w:rsidR="00C20B89">
        <w:rPr>
          <w:rFonts w:asciiTheme="minorHAnsi" w:hAnsiTheme="minorHAnsi" w:cstheme="minorHAnsi"/>
          <w:sz w:val="22"/>
          <w:szCs w:val="22"/>
        </w:rPr>
        <w:t xml:space="preserve"> </w:t>
      </w:r>
      <w:r w:rsidR="00A40AE7">
        <w:rPr>
          <w:rFonts w:asciiTheme="minorHAnsi" w:hAnsiTheme="minorHAnsi" w:cstheme="minorHAnsi"/>
          <w:sz w:val="22"/>
          <w:szCs w:val="22"/>
        </w:rPr>
        <w:t xml:space="preserve">Makes technical fixes to ensure video gaming for both the Illinois State Fairgrounds and the </w:t>
      </w:r>
      <w:proofErr w:type="spellStart"/>
      <w:r w:rsidR="00A40AE7">
        <w:rPr>
          <w:rFonts w:asciiTheme="minorHAnsi" w:hAnsiTheme="minorHAnsi" w:cstheme="minorHAnsi"/>
          <w:sz w:val="22"/>
          <w:szCs w:val="22"/>
        </w:rPr>
        <w:t>DuQuoin</w:t>
      </w:r>
      <w:proofErr w:type="spellEnd"/>
      <w:r w:rsidR="00A40AE7">
        <w:rPr>
          <w:rFonts w:asciiTheme="minorHAnsi" w:hAnsiTheme="minorHAnsi" w:cstheme="minorHAnsi"/>
          <w:sz w:val="22"/>
          <w:szCs w:val="22"/>
        </w:rPr>
        <w:t xml:space="preserve"> State Fairgrounds</w:t>
      </w:r>
      <w:r w:rsidR="00A52CA7">
        <w:rPr>
          <w:rFonts w:asciiTheme="minorHAnsi" w:hAnsiTheme="minorHAnsi" w:cstheme="minorHAnsi"/>
          <w:sz w:val="22"/>
          <w:szCs w:val="22"/>
        </w:rPr>
        <w:t>.</w:t>
      </w:r>
    </w:p>
    <w:p w14:paraId="418F1485" w14:textId="030C031E" w:rsidR="00C71DE1" w:rsidRPr="002A2A96" w:rsidRDefault="004154E8" w:rsidP="00C71DE1">
      <w:pPr>
        <w:spacing w:before="140" w:after="140" w:line="240" w:lineRule="auto"/>
        <w:rPr>
          <w:rFonts w:eastAsia="Times New Roman" w:cstheme="minorHAnsi"/>
        </w:rPr>
      </w:pPr>
      <w:r>
        <w:rPr>
          <w:rFonts w:eastAsia="Times New Roman" w:cstheme="minorHAnsi"/>
          <w:b/>
          <w:bCs/>
          <w:color w:val="000000"/>
        </w:rPr>
        <w:t xml:space="preserve">COIVD-19 </w:t>
      </w:r>
      <w:r w:rsidR="00C71DE1" w:rsidRPr="002A2A96">
        <w:rPr>
          <w:rFonts w:eastAsia="Times New Roman" w:cstheme="minorHAnsi"/>
          <w:b/>
          <w:bCs/>
          <w:color w:val="000000"/>
        </w:rPr>
        <w:t>Property Tax</w:t>
      </w:r>
      <w:r>
        <w:rPr>
          <w:rFonts w:eastAsia="Times New Roman" w:cstheme="minorHAnsi"/>
          <w:b/>
          <w:bCs/>
          <w:color w:val="000000"/>
        </w:rPr>
        <w:t xml:space="preserve"> Relief</w:t>
      </w:r>
      <w:r w:rsidR="00F67790">
        <w:rPr>
          <w:rFonts w:eastAsia="Times New Roman" w:cstheme="minorHAnsi"/>
          <w:b/>
          <w:bCs/>
          <w:color w:val="000000"/>
        </w:rPr>
        <w:t>:</w:t>
      </w:r>
      <w:r w:rsidR="00C71DE1" w:rsidRPr="002A2A96">
        <w:rPr>
          <w:rFonts w:eastAsia="Times New Roman" w:cstheme="minorHAnsi"/>
          <w:b/>
          <w:bCs/>
          <w:color w:val="000000"/>
        </w:rPr>
        <w:t xml:space="preserve"> </w:t>
      </w:r>
      <w:hyperlink r:id="rId32" w:history="1">
        <w:r w:rsidR="00DA0692" w:rsidRPr="00DA0692">
          <w:rPr>
            <w:rStyle w:val="Hyperlink"/>
          </w:rPr>
          <w:t>SB 685</w:t>
        </w:r>
      </w:hyperlink>
      <w:r w:rsidR="00DA0692">
        <w:t xml:space="preserve"> </w:t>
      </w:r>
      <w:r w:rsidR="00C71DE1" w:rsidRPr="00F67790">
        <w:rPr>
          <w:rFonts w:eastAsia="Times New Roman" w:cstheme="minorHAnsi"/>
          <w:b/>
          <w:bCs/>
          <w:color w:val="000000"/>
        </w:rPr>
        <w:t>(Harmon/</w:t>
      </w:r>
      <w:proofErr w:type="spellStart"/>
      <w:r w:rsidR="00C71DE1" w:rsidRPr="00F67790">
        <w:rPr>
          <w:rFonts w:eastAsia="Times New Roman" w:cstheme="minorHAnsi"/>
          <w:b/>
          <w:bCs/>
          <w:color w:val="000000"/>
        </w:rPr>
        <w:t>Zalewski</w:t>
      </w:r>
      <w:proofErr w:type="spellEnd"/>
      <w:r w:rsidR="00C71DE1" w:rsidRPr="00F67790">
        <w:rPr>
          <w:rFonts w:eastAsia="Times New Roman" w:cstheme="minorHAnsi"/>
          <w:b/>
          <w:bCs/>
          <w:color w:val="000000"/>
        </w:rPr>
        <w:t>)</w:t>
      </w:r>
      <w:r w:rsidR="008C15B5">
        <w:rPr>
          <w:rFonts w:eastAsia="Times New Roman" w:cstheme="minorHAnsi"/>
          <w:b/>
          <w:bCs/>
          <w:color w:val="000000"/>
        </w:rPr>
        <w:t xml:space="preserve"> </w:t>
      </w:r>
      <w:r w:rsidR="00C71DE1" w:rsidRPr="002A2A96">
        <w:rPr>
          <w:rFonts w:eastAsia="Times New Roman" w:cstheme="minorHAnsi"/>
          <w:color w:val="000000"/>
        </w:rPr>
        <w:t xml:space="preserve">makes </w:t>
      </w:r>
      <w:r w:rsidR="005400E3">
        <w:rPr>
          <w:rFonts w:eastAsia="Times New Roman" w:cstheme="minorHAnsi"/>
          <w:color w:val="000000"/>
        </w:rPr>
        <w:t>several</w:t>
      </w:r>
      <w:r w:rsidR="00C71DE1" w:rsidRPr="002A2A96">
        <w:rPr>
          <w:rFonts w:eastAsia="Times New Roman" w:cstheme="minorHAnsi"/>
          <w:color w:val="000000"/>
        </w:rPr>
        <w:t xml:space="preserve"> changes regarding property taxes.  In counties other than Cook, provides for the permissive waiver of interest and penalties on property taxes. </w:t>
      </w:r>
      <w:r>
        <w:rPr>
          <w:rFonts w:eastAsia="Times New Roman" w:cstheme="minorHAnsi"/>
          <w:color w:val="000000"/>
        </w:rPr>
        <w:t xml:space="preserve">Delays tax sales.  Makes changes to scavenger sales.  There is no property tax freeze or other property tax reduction in this proposal. </w:t>
      </w:r>
    </w:p>
    <w:p w14:paraId="5E74F172" w14:textId="605B1DFE" w:rsidR="009D7B83" w:rsidRDefault="009D7B83" w:rsidP="00706457">
      <w:pPr>
        <w:spacing w:before="140" w:after="140" w:line="240" w:lineRule="auto"/>
      </w:pPr>
      <w:r>
        <w:rPr>
          <w:rFonts w:eastAsia="Times New Roman" w:cstheme="minorHAnsi"/>
          <w:b/>
          <w:bCs/>
        </w:rPr>
        <w:t xml:space="preserve">Sexual Assault:  </w:t>
      </w:r>
      <w:hyperlink r:id="rId33" w:history="1">
        <w:r w:rsidR="00DA0692" w:rsidRPr="00DA0692">
          <w:rPr>
            <w:rStyle w:val="Hyperlink"/>
          </w:rPr>
          <w:t>SB 557</w:t>
        </w:r>
      </w:hyperlink>
      <w:r w:rsidR="00DA0692">
        <w:t xml:space="preserve"> </w:t>
      </w:r>
      <w:r>
        <w:rPr>
          <w:rFonts w:eastAsia="Times New Roman" w:cstheme="minorHAnsi"/>
        </w:rPr>
        <w:t>(</w:t>
      </w:r>
      <w:r w:rsidRPr="00DA0692">
        <w:rPr>
          <w:rFonts w:eastAsia="Times New Roman" w:cstheme="minorHAnsi"/>
          <w:b/>
          <w:bCs/>
        </w:rPr>
        <w:t>Bush/Cassidy</w:t>
      </w:r>
      <w:r>
        <w:rPr>
          <w:rFonts w:eastAsia="Times New Roman" w:cstheme="minorHAnsi"/>
        </w:rPr>
        <w:t xml:space="preserve">) </w:t>
      </w:r>
      <w:r w:rsidR="00B815BF">
        <w:rPr>
          <w:rFonts w:eastAsia="Times New Roman" w:cstheme="minorHAnsi"/>
        </w:rPr>
        <w:t xml:space="preserve">is an initiative of the Cook County State’s Attorney.  </w:t>
      </w:r>
      <w:r w:rsidR="00F4183B">
        <w:t xml:space="preserve">In light of the pandemic, the bill temporarily allows federally qualified health centers to perform rape kit examinations at a time when a visit to the emergency room </w:t>
      </w:r>
      <w:r w:rsidR="00C45888">
        <w:t xml:space="preserve">may be </w:t>
      </w:r>
      <w:r w:rsidR="00436974">
        <w:t>difficult due to the pandemic</w:t>
      </w:r>
      <w:r w:rsidR="00F4183B">
        <w:t>.</w:t>
      </w:r>
    </w:p>
    <w:p w14:paraId="6C1A5E88" w14:textId="786E2503" w:rsidR="00A7500E" w:rsidRDefault="00DC31EE" w:rsidP="00DB0CA7">
      <w:pPr>
        <w:rPr>
          <w:rFonts w:cstheme="minorHAnsi"/>
          <w:color w:val="000000"/>
        </w:rPr>
      </w:pPr>
      <w:r w:rsidRPr="005D1453">
        <w:rPr>
          <w:b/>
          <w:bCs/>
        </w:rPr>
        <w:t>Senate Rule Change:</w:t>
      </w:r>
      <w:r w:rsidRPr="005D1453">
        <w:t xml:space="preserve">  The Senate </w:t>
      </w:r>
      <w:r w:rsidR="005D1453" w:rsidRPr="005D1453">
        <w:t>adopted</w:t>
      </w:r>
      <w:r w:rsidRPr="005D1453">
        <w:t xml:space="preserve"> a rule change </w:t>
      </w:r>
      <w:r w:rsidR="005D1453" w:rsidRPr="005D1453">
        <w:t xml:space="preserve">in the early hours of Sunday </w:t>
      </w:r>
      <w:r w:rsidRPr="005D1453">
        <w:t xml:space="preserve">morning that </w:t>
      </w:r>
      <w:r w:rsidR="005D1453" w:rsidRPr="005D1453">
        <w:t>creates two new standing committees on Government Accountability and Ethics and Pensions.  The rule change also allows the Senate President and Minority Leader to establish a process to allow for remote committee hearings, including pubic participation.  Finally, the rule change</w:t>
      </w:r>
      <w:r w:rsidRPr="005D1453">
        <w:t xml:space="preserve"> </w:t>
      </w:r>
      <w:r w:rsidR="005D1453" w:rsidRPr="005D1453">
        <w:t>allows members to participate and vote remotely during a pandemic.</w:t>
      </w:r>
      <w:r w:rsidR="00DB0CA7">
        <w:t xml:space="preserve"> </w:t>
      </w:r>
      <w:r w:rsidR="00694479" w:rsidRPr="00694479">
        <w:rPr>
          <w:rFonts w:cstheme="minorHAnsi"/>
          <w:color w:val="000000"/>
        </w:rPr>
        <w:t xml:space="preserve">Some House Republican legislators formed the Illinois </w:t>
      </w:r>
      <w:r w:rsidR="00694479" w:rsidRPr="00694479">
        <w:rPr>
          <w:rFonts w:cstheme="minorHAnsi"/>
          <w:color w:val="000000"/>
        </w:rPr>
        <w:lastRenderedPageBreak/>
        <w:t>Taxpayer Freedom Caucus.  The group of 20 legislators will focus on structural and ethical reforms.  More information is</w:t>
      </w:r>
      <w:hyperlink r:id="rId34" w:history="1">
        <w:r w:rsidR="00694479" w:rsidRPr="00694479">
          <w:rPr>
            <w:rStyle w:val="Hyperlink"/>
            <w:rFonts w:cstheme="minorHAnsi"/>
            <w:color w:val="000000"/>
          </w:rPr>
          <w:t xml:space="preserve"> </w:t>
        </w:r>
        <w:r w:rsidR="00694479" w:rsidRPr="00694479">
          <w:rPr>
            <w:rStyle w:val="Hyperlink"/>
            <w:rFonts w:cstheme="minorHAnsi"/>
            <w:color w:val="1155CC"/>
          </w:rPr>
          <w:t>he</w:t>
        </w:r>
        <w:r w:rsidR="00694479" w:rsidRPr="00694479">
          <w:rPr>
            <w:rStyle w:val="Hyperlink"/>
            <w:rFonts w:cstheme="minorHAnsi"/>
            <w:color w:val="1155CC"/>
          </w:rPr>
          <w:t>r</w:t>
        </w:r>
        <w:r w:rsidR="00694479" w:rsidRPr="00694479">
          <w:rPr>
            <w:rStyle w:val="Hyperlink"/>
            <w:rFonts w:cstheme="minorHAnsi"/>
            <w:color w:val="1155CC"/>
          </w:rPr>
          <w:t>e</w:t>
        </w:r>
      </w:hyperlink>
      <w:r w:rsidR="00694479" w:rsidRPr="00694479">
        <w:rPr>
          <w:rFonts w:cstheme="minorHAnsi"/>
          <w:color w:val="000000"/>
        </w:rPr>
        <w:t>.</w:t>
      </w:r>
    </w:p>
    <w:p w14:paraId="7D1AA938" w14:textId="77777777" w:rsidR="009E627C" w:rsidRPr="002A2A96" w:rsidRDefault="009E627C" w:rsidP="009E627C">
      <w:pPr>
        <w:spacing w:before="140" w:after="140" w:line="240" w:lineRule="auto"/>
        <w:rPr>
          <w:rFonts w:eastAsia="Times New Roman" w:cstheme="minorHAnsi"/>
          <w:color w:val="000000"/>
        </w:rPr>
      </w:pPr>
      <w:hyperlink r:id="rId35" w:history="1">
        <w:r w:rsidRPr="002A2A96">
          <w:rPr>
            <w:rFonts w:eastAsia="Times New Roman" w:cstheme="minorHAnsi"/>
            <w:color w:val="1155CC"/>
            <w:u w:val="single"/>
          </w:rPr>
          <w:t>HR 848</w:t>
        </w:r>
      </w:hyperlink>
      <w:r w:rsidRPr="002A2A96">
        <w:rPr>
          <w:rFonts w:eastAsia="Times New Roman" w:cstheme="minorHAnsi"/>
          <w:color w:val="000000"/>
        </w:rPr>
        <w:t xml:space="preserve"> </w:t>
      </w:r>
      <w:r w:rsidRPr="009D7B83">
        <w:rPr>
          <w:rFonts w:eastAsia="Times New Roman" w:cstheme="minorHAnsi"/>
          <w:b/>
          <w:bCs/>
          <w:color w:val="000000"/>
        </w:rPr>
        <w:t>(Madigan)</w:t>
      </w:r>
      <w:r w:rsidRPr="002A2A96">
        <w:rPr>
          <w:rFonts w:eastAsia="Times New Roman" w:cstheme="minorHAnsi"/>
          <w:color w:val="000000"/>
        </w:rPr>
        <w:t xml:space="preserve"> commends essential workers for their efforts and sacrifice.</w:t>
      </w:r>
    </w:p>
    <w:p w14:paraId="05E6DD96" w14:textId="77777777" w:rsidR="003F581D" w:rsidRDefault="003F581D" w:rsidP="00775FFD">
      <w:pPr>
        <w:spacing w:before="140" w:after="140" w:line="240" w:lineRule="auto"/>
        <w:rPr>
          <w:rFonts w:cstheme="minorHAnsi"/>
          <w:color w:val="000000"/>
        </w:rPr>
      </w:pPr>
      <w:bookmarkStart w:id="6" w:name="_Hlk41395209"/>
      <w:bookmarkStart w:id="7" w:name="_GoBack"/>
      <w:bookmarkEnd w:id="7"/>
    </w:p>
    <w:p w14:paraId="142454FA" w14:textId="4A8424F3" w:rsidR="00775FFD" w:rsidRDefault="00793568" w:rsidP="00775FFD">
      <w:pPr>
        <w:spacing w:before="140" w:after="140" w:line="240" w:lineRule="auto"/>
        <w:rPr>
          <w:rFonts w:cstheme="minorHAnsi"/>
          <w:color w:val="000000"/>
        </w:rPr>
      </w:pPr>
      <w:bookmarkStart w:id="8" w:name="_Hlk41400586"/>
      <w:r>
        <w:rPr>
          <w:rFonts w:cstheme="minorHAnsi"/>
          <w:color w:val="000000"/>
        </w:rPr>
        <w:t xml:space="preserve">The General Assembly </w:t>
      </w:r>
      <w:r w:rsidR="00916BFB">
        <w:rPr>
          <w:rFonts w:cstheme="minorHAnsi"/>
          <w:color w:val="000000"/>
        </w:rPr>
        <w:t>adjourned until Tuesday, November 17</w:t>
      </w:r>
      <w:r w:rsidR="00916BFB" w:rsidRPr="00916BFB">
        <w:rPr>
          <w:rFonts w:cstheme="minorHAnsi"/>
          <w:color w:val="000000"/>
          <w:vertAlign w:val="superscript"/>
        </w:rPr>
        <w:t>th</w:t>
      </w:r>
      <w:r w:rsidR="00916BFB">
        <w:rPr>
          <w:rFonts w:cstheme="minorHAnsi"/>
          <w:color w:val="000000"/>
        </w:rPr>
        <w:t xml:space="preserve"> or </w:t>
      </w:r>
      <w:r w:rsidR="002F3DB9">
        <w:rPr>
          <w:rFonts w:cstheme="minorHAnsi"/>
          <w:color w:val="000000"/>
        </w:rPr>
        <w:t xml:space="preserve">to </w:t>
      </w:r>
      <w:r w:rsidR="00916BFB">
        <w:rPr>
          <w:rFonts w:cstheme="minorHAnsi"/>
          <w:color w:val="000000"/>
        </w:rPr>
        <w:t>the call of the presiding officer</w:t>
      </w:r>
      <w:r w:rsidR="000E75B2">
        <w:rPr>
          <w:rFonts w:cstheme="minorHAnsi"/>
          <w:color w:val="000000"/>
        </w:rPr>
        <w:t>.</w:t>
      </w:r>
      <w:r>
        <w:rPr>
          <w:rFonts w:cstheme="minorHAnsi"/>
          <w:color w:val="000000"/>
        </w:rPr>
        <w:t xml:space="preserve"> </w:t>
      </w:r>
      <w:r w:rsidR="00327040">
        <w:rPr>
          <w:rFonts w:cstheme="minorHAnsi"/>
          <w:color w:val="000000"/>
        </w:rPr>
        <w:t xml:space="preserve"> </w:t>
      </w:r>
      <w:r w:rsidR="000E0DB6">
        <w:rPr>
          <w:rFonts w:cstheme="minorHAnsi"/>
          <w:color w:val="000000"/>
        </w:rPr>
        <w:t xml:space="preserve">View the Senate Veto Session Calendar </w:t>
      </w:r>
      <w:hyperlink r:id="rId36" w:history="1">
        <w:r w:rsidR="000E0DB6">
          <w:rPr>
            <w:rStyle w:val="Hyperlink"/>
            <w:rFonts w:cstheme="minorHAnsi"/>
          </w:rPr>
          <w:t>here</w:t>
        </w:r>
      </w:hyperlink>
      <w:r w:rsidR="000E0DB6">
        <w:rPr>
          <w:rFonts w:cstheme="minorHAnsi"/>
          <w:color w:val="000000"/>
        </w:rPr>
        <w:t xml:space="preserve">. View the House Veto Session calendar </w:t>
      </w:r>
      <w:hyperlink r:id="rId37" w:history="1">
        <w:r w:rsidR="000E0DB6">
          <w:rPr>
            <w:rStyle w:val="Hyperlink"/>
            <w:rFonts w:cstheme="minorHAnsi"/>
          </w:rPr>
          <w:t>here</w:t>
        </w:r>
      </w:hyperlink>
      <w:r w:rsidR="000E0DB6">
        <w:rPr>
          <w:rFonts w:cstheme="minorHAnsi"/>
          <w:color w:val="000000"/>
        </w:rPr>
        <w:t xml:space="preserve">. </w:t>
      </w:r>
      <w:r w:rsidR="003F581D">
        <w:rPr>
          <w:rFonts w:cstheme="minorHAnsi"/>
          <w:color w:val="000000"/>
        </w:rPr>
        <w:t xml:space="preserve">This was certainly a wild session. IIA of IL, NAIFA-IL, and IAMIC combined to introduce four pieces of legislation early this year. Those measures were put on hold due to the abbreviated session. However, we believe we are in a good spot to pursue those measures again next year. I want to thank my legislative chairs, the Government Relations Committee members from all four associations, as well as the working group members for health and workers’ compensation insurance for their assistance this year. They play an integral part in helping to decipher complex legislation and how it may affect the insurance industry and our members. Furthermore, Phil Lackman and Brett Gerger have been vital to the success we had this year with the General Assembly, the Department of Insurance, and the Governor’s Office. It is a combined effort from our staff and volunteers that </w:t>
      </w:r>
      <w:r w:rsidR="00926ED3">
        <w:rPr>
          <w:rFonts w:cstheme="minorHAnsi"/>
          <w:color w:val="000000"/>
        </w:rPr>
        <w:t xml:space="preserve">assist our respected associations in maneuvering through a difficult political landscape. </w:t>
      </w:r>
    </w:p>
    <w:bookmarkEnd w:id="6"/>
    <w:bookmarkEnd w:id="8"/>
    <w:p w14:paraId="57D45CEE" w14:textId="3DAB2ECC" w:rsidR="00326A20" w:rsidRPr="002A2A96" w:rsidRDefault="00326A20" w:rsidP="00C71DE1">
      <w:pPr>
        <w:rPr>
          <w:rFonts w:cstheme="minorHAnsi"/>
        </w:rPr>
      </w:pPr>
    </w:p>
    <w:sectPr w:rsidR="00326A20" w:rsidRPr="002A2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C5354"/>
    <w:multiLevelType w:val="hybridMultilevel"/>
    <w:tmpl w:val="AC2494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FA604D"/>
    <w:multiLevelType w:val="hybridMultilevel"/>
    <w:tmpl w:val="05A63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521A5"/>
    <w:multiLevelType w:val="hybridMultilevel"/>
    <w:tmpl w:val="E0E2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E446FF"/>
    <w:multiLevelType w:val="hybridMultilevel"/>
    <w:tmpl w:val="2CE0EBF6"/>
    <w:lvl w:ilvl="0" w:tplc="04090001">
      <w:start w:val="1"/>
      <w:numFmt w:val="bullet"/>
      <w:lvlText w:val=""/>
      <w:lvlJc w:val="left"/>
      <w:pPr>
        <w:ind w:left="1440" w:hanging="360"/>
      </w:pPr>
      <w:rPr>
        <w:rFonts w:ascii="Symbol" w:hAnsi="Symbol" w:hint="default"/>
      </w:rPr>
    </w:lvl>
    <w:lvl w:ilvl="1" w:tplc="F18E88FA">
      <w:numFmt w:val="bullet"/>
      <w:lvlText w:val="·"/>
      <w:lvlJc w:val="left"/>
      <w:pPr>
        <w:ind w:left="2304" w:hanging="504"/>
      </w:pPr>
      <w:rPr>
        <w:rFonts w:ascii="Calibri" w:eastAsia="Times New Roman" w:hAnsi="Calibri" w:cs="Calibri" w:hint="default"/>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F07056"/>
    <w:multiLevelType w:val="hybridMultilevel"/>
    <w:tmpl w:val="4760A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B30D98"/>
    <w:multiLevelType w:val="hybridMultilevel"/>
    <w:tmpl w:val="B156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4A2086"/>
    <w:multiLevelType w:val="hybridMultilevel"/>
    <w:tmpl w:val="DA163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786096"/>
    <w:multiLevelType w:val="multilevel"/>
    <w:tmpl w:val="3078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5E40DF"/>
    <w:multiLevelType w:val="multilevel"/>
    <w:tmpl w:val="EE94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3"/>
  </w:num>
  <w:num w:numId="4">
    <w:abstractNumId w:val="6"/>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F5"/>
    <w:rsid w:val="000166C2"/>
    <w:rsid w:val="00075792"/>
    <w:rsid w:val="00082F8B"/>
    <w:rsid w:val="0008408E"/>
    <w:rsid w:val="00093FB5"/>
    <w:rsid w:val="00095CFA"/>
    <w:rsid w:val="000E0DB6"/>
    <w:rsid w:val="000E75B2"/>
    <w:rsid w:val="000F0C87"/>
    <w:rsid w:val="001147BC"/>
    <w:rsid w:val="0011740B"/>
    <w:rsid w:val="001206A9"/>
    <w:rsid w:val="00191C3D"/>
    <w:rsid w:val="001953C5"/>
    <w:rsid w:val="001A049E"/>
    <w:rsid w:val="001C0C1C"/>
    <w:rsid w:val="001E26D6"/>
    <w:rsid w:val="001F05EF"/>
    <w:rsid w:val="00206864"/>
    <w:rsid w:val="00221401"/>
    <w:rsid w:val="002332FA"/>
    <w:rsid w:val="002563D2"/>
    <w:rsid w:val="00265E99"/>
    <w:rsid w:val="00274BB3"/>
    <w:rsid w:val="00281703"/>
    <w:rsid w:val="002935D7"/>
    <w:rsid w:val="002A2A96"/>
    <w:rsid w:val="002A7DFA"/>
    <w:rsid w:val="002F20FC"/>
    <w:rsid w:val="002F3DB9"/>
    <w:rsid w:val="002F5FEF"/>
    <w:rsid w:val="00300003"/>
    <w:rsid w:val="003008F9"/>
    <w:rsid w:val="00311C3F"/>
    <w:rsid w:val="003216D0"/>
    <w:rsid w:val="00326A20"/>
    <w:rsid w:val="00327040"/>
    <w:rsid w:val="00347016"/>
    <w:rsid w:val="00394B1D"/>
    <w:rsid w:val="003B3B1B"/>
    <w:rsid w:val="003B77E6"/>
    <w:rsid w:val="003C0443"/>
    <w:rsid w:val="003C2124"/>
    <w:rsid w:val="003C3512"/>
    <w:rsid w:val="003C5778"/>
    <w:rsid w:val="003C66BA"/>
    <w:rsid w:val="003D276F"/>
    <w:rsid w:val="003F0FDE"/>
    <w:rsid w:val="003F1B85"/>
    <w:rsid w:val="003F581D"/>
    <w:rsid w:val="003F73D5"/>
    <w:rsid w:val="00403060"/>
    <w:rsid w:val="00414D14"/>
    <w:rsid w:val="004154E8"/>
    <w:rsid w:val="00436974"/>
    <w:rsid w:val="00441389"/>
    <w:rsid w:val="00462399"/>
    <w:rsid w:val="00476C3B"/>
    <w:rsid w:val="00476D34"/>
    <w:rsid w:val="004F1B54"/>
    <w:rsid w:val="005051A7"/>
    <w:rsid w:val="00536592"/>
    <w:rsid w:val="005400E3"/>
    <w:rsid w:val="0054279B"/>
    <w:rsid w:val="00545606"/>
    <w:rsid w:val="00552AD3"/>
    <w:rsid w:val="00556CD5"/>
    <w:rsid w:val="00585E8E"/>
    <w:rsid w:val="005D1453"/>
    <w:rsid w:val="005D283B"/>
    <w:rsid w:val="005E3FBE"/>
    <w:rsid w:val="005F593A"/>
    <w:rsid w:val="0061109E"/>
    <w:rsid w:val="00636C1C"/>
    <w:rsid w:val="006466C7"/>
    <w:rsid w:val="00663C54"/>
    <w:rsid w:val="0067699A"/>
    <w:rsid w:val="00694479"/>
    <w:rsid w:val="006C4AA6"/>
    <w:rsid w:val="006D0F9B"/>
    <w:rsid w:val="006F5832"/>
    <w:rsid w:val="00706457"/>
    <w:rsid w:val="00775FFD"/>
    <w:rsid w:val="00782A3D"/>
    <w:rsid w:val="00793568"/>
    <w:rsid w:val="007A712E"/>
    <w:rsid w:val="007B0017"/>
    <w:rsid w:val="007B09C1"/>
    <w:rsid w:val="007B22FE"/>
    <w:rsid w:val="007B5A1F"/>
    <w:rsid w:val="007C3CF5"/>
    <w:rsid w:val="007D3944"/>
    <w:rsid w:val="007E06C8"/>
    <w:rsid w:val="00802FFD"/>
    <w:rsid w:val="0081083F"/>
    <w:rsid w:val="00813586"/>
    <w:rsid w:val="00815498"/>
    <w:rsid w:val="00816F4A"/>
    <w:rsid w:val="008226FB"/>
    <w:rsid w:val="0082296D"/>
    <w:rsid w:val="00822FCE"/>
    <w:rsid w:val="0083200F"/>
    <w:rsid w:val="008352E4"/>
    <w:rsid w:val="00844D45"/>
    <w:rsid w:val="008856DE"/>
    <w:rsid w:val="008C15B5"/>
    <w:rsid w:val="008D310E"/>
    <w:rsid w:val="008F1C28"/>
    <w:rsid w:val="008F3945"/>
    <w:rsid w:val="00907F55"/>
    <w:rsid w:val="00916BFB"/>
    <w:rsid w:val="00923FAA"/>
    <w:rsid w:val="00926ED3"/>
    <w:rsid w:val="00977611"/>
    <w:rsid w:val="009B6911"/>
    <w:rsid w:val="009C6BD1"/>
    <w:rsid w:val="009D7B83"/>
    <w:rsid w:val="009E627C"/>
    <w:rsid w:val="009F080C"/>
    <w:rsid w:val="00A0337C"/>
    <w:rsid w:val="00A103D1"/>
    <w:rsid w:val="00A10BF0"/>
    <w:rsid w:val="00A207B0"/>
    <w:rsid w:val="00A40AE7"/>
    <w:rsid w:val="00A428A1"/>
    <w:rsid w:val="00A52CA7"/>
    <w:rsid w:val="00A65EB1"/>
    <w:rsid w:val="00A7500E"/>
    <w:rsid w:val="00A764A7"/>
    <w:rsid w:val="00A8431B"/>
    <w:rsid w:val="00AA7AE0"/>
    <w:rsid w:val="00AB2B4A"/>
    <w:rsid w:val="00AC2EF0"/>
    <w:rsid w:val="00AD22DA"/>
    <w:rsid w:val="00AF2793"/>
    <w:rsid w:val="00AF6610"/>
    <w:rsid w:val="00B60447"/>
    <w:rsid w:val="00B815BF"/>
    <w:rsid w:val="00B87E97"/>
    <w:rsid w:val="00B9792C"/>
    <w:rsid w:val="00BA3A83"/>
    <w:rsid w:val="00BC59F6"/>
    <w:rsid w:val="00BC6E0D"/>
    <w:rsid w:val="00BD2EC6"/>
    <w:rsid w:val="00BE4065"/>
    <w:rsid w:val="00C03AB5"/>
    <w:rsid w:val="00C14066"/>
    <w:rsid w:val="00C20B89"/>
    <w:rsid w:val="00C45888"/>
    <w:rsid w:val="00C71DE1"/>
    <w:rsid w:val="00C93808"/>
    <w:rsid w:val="00CA77F6"/>
    <w:rsid w:val="00CB0405"/>
    <w:rsid w:val="00CD1897"/>
    <w:rsid w:val="00CD19CA"/>
    <w:rsid w:val="00CF00C0"/>
    <w:rsid w:val="00D71521"/>
    <w:rsid w:val="00D760CC"/>
    <w:rsid w:val="00D826E1"/>
    <w:rsid w:val="00DA0692"/>
    <w:rsid w:val="00DB0CA7"/>
    <w:rsid w:val="00DC2FDC"/>
    <w:rsid w:val="00DC31EE"/>
    <w:rsid w:val="00DE0B6E"/>
    <w:rsid w:val="00E13820"/>
    <w:rsid w:val="00E32763"/>
    <w:rsid w:val="00E4073A"/>
    <w:rsid w:val="00E46BCA"/>
    <w:rsid w:val="00E661FE"/>
    <w:rsid w:val="00ED3AD7"/>
    <w:rsid w:val="00EE2DC5"/>
    <w:rsid w:val="00EF1160"/>
    <w:rsid w:val="00EF7A2E"/>
    <w:rsid w:val="00F14D89"/>
    <w:rsid w:val="00F4183B"/>
    <w:rsid w:val="00F62036"/>
    <w:rsid w:val="00F629BF"/>
    <w:rsid w:val="00F67790"/>
    <w:rsid w:val="00F67BCF"/>
    <w:rsid w:val="00F92738"/>
    <w:rsid w:val="00FC1A39"/>
    <w:rsid w:val="00FC2479"/>
    <w:rsid w:val="00FC4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A89E"/>
  <w15:chartTrackingRefBased/>
  <w15:docId w15:val="{5A149611-451C-42F9-AACC-FEFB308C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C3CF5"/>
    <w:pPr>
      <w:spacing w:before="100" w:beforeAutospacing="1" w:after="100" w:afterAutospacing="1" w:line="240" w:lineRule="auto"/>
      <w:outlineLvl w:val="1"/>
    </w:pPr>
    <w:rPr>
      <w:rFonts w:ascii="Calibri" w:eastAsia="Times New Roman"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C3CF5"/>
    <w:rPr>
      <w:rFonts w:ascii="Calibri" w:eastAsia="Times New Roman" w:hAnsi="Calibri" w:cs="Calibri"/>
      <w:b/>
      <w:bCs/>
      <w:sz w:val="36"/>
      <w:szCs w:val="36"/>
    </w:rPr>
  </w:style>
  <w:style w:type="paragraph" w:styleId="NormalWeb">
    <w:name w:val="Normal (Web)"/>
    <w:basedOn w:val="Normal"/>
    <w:uiPriority w:val="99"/>
    <w:unhideWhenUsed/>
    <w:rsid w:val="007C3CF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3CF5"/>
    <w:rPr>
      <w:i/>
      <w:iCs/>
    </w:rPr>
  </w:style>
  <w:style w:type="character" w:styleId="Hyperlink">
    <w:name w:val="Hyperlink"/>
    <w:basedOn w:val="DefaultParagraphFont"/>
    <w:uiPriority w:val="99"/>
    <w:unhideWhenUsed/>
    <w:rsid w:val="007C3CF5"/>
    <w:rPr>
      <w:color w:val="0000FF"/>
      <w:u w:val="single"/>
    </w:rPr>
  </w:style>
  <w:style w:type="character" w:styleId="Strong">
    <w:name w:val="Strong"/>
    <w:basedOn w:val="DefaultParagraphFont"/>
    <w:uiPriority w:val="22"/>
    <w:qFormat/>
    <w:rsid w:val="007C3CF5"/>
    <w:rPr>
      <w:b/>
      <w:bCs/>
    </w:rPr>
  </w:style>
  <w:style w:type="paragraph" w:customStyle="1" w:styleId="soi-dfwp-item">
    <w:name w:val="soi-dfwp-item"/>
    <w:basedOn w:val="Normal"/>
    <w:rsid w:val="007C3CF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C3CF5"/>
    <w:rPr>
      <w:color w:val="605E5C"/>
      <w:shd w:val="clear" w:color="auto" w:fill="E1DFDD"/>
    </w:rPr>
  </w:style>
  <w:style w:type="paragraph" w:styleId="ListParagraph">
    <w:name w:val="List Paragraph"/>
    <w:basedOn w:val="Normal"/>
    <w:uiPriority w:val="34"/>
    <w:qFormat/>
    <w:rsid w:val="00F92738"/>
    <w:pPr>
      <w:ind w:left="720"/>
      <w:contextualSpacing/>
    </w:pPr>
  </w:style>
  <w:style w:type="paragraph" w:styleId="BalloonText">
    <w:name w:val="Balloon Text"/>
    <w:basedOn w:val="Normal"/>
    <w:link w:val="BalloonTextChar"/>
    <w:uiPriority w:val="99"/>
    <w:semiHidden/>
    <w:unhideWhenUsed/>
    <w:rsid w:val="00A764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4A7"/>
    <w:rPr>
      <w:rFonts w:ascii="Segoe UI" w:hAnsi="Segoe UI" w:cs="Segoe UI"/>
      <w:sz w:val="18"/>
      <w:szCs w:val="18"/>
    </w:rPr>
  </w:style>
  <w:style w:type="character" w:styleId="FollowedHyperlink">
    <w:name w:val="FollowedHyperlink"/>
    <w:basedOn w:val="DefaultParagraphFont"/>
    <w:uiPriority w:val="99"/>
    <w:semiHidden/>
    <w:unhideWhenUsed/>
    <w:rsid w:val="003F58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18531">
      <w:bodyDiv w:val="1"/>
      <w:marLeft w:val="0"/>
      <w:marRight w:val="0"/>
      <w:marTop w:val="0"/>
      <w:marBottom w:val="0"/>
      <w:divBdr>
        <w:top w:val="none" w:sz="0" w:space="0" w:color="auto"/>
        <w:left w:val="none" w:sz="0" w:space="0" w:color="auto"/>
        <w:bottom w:val="none" w:sz="0" w:space="0" w:color="auto"/>
        <w:right w:val="none" w:sz="0" w:space="0" w:color="auto"/>
      </w:divBdr>
    </w:div>
    <w:div w:id="554585902">
      <w:bodyDiv w:val="1"/>
      <w:marLeft w:val="0"/>
      <w:marRight w:val="0"/>
      <w:marTop w:val="0"/>
      <w:marBottom w:val="0"/>
      <w:divBdr>
        <w:top w:val="none" w:sz="0" w:space="0" w:color="auto"/>
        <w:left w:val="none" w:sz="0" w:space="0" w:color="auto"/>
        <w:bottom w:val="none" w:sz="0" w:space="0" w:color="auto"/>
        <w:right w:val="none" w:sz="0" w:space="0" w:color="auto"/>
      </w:divBdr>
    </w:div>
    <w:div w:id="802624432">
      <w:bodyDiv w:val="1"/>
      <w:marLeft w:val="0"/>
      <w:marRight w:val="0"/>
      <w:marTop w:val="0"/>
      <w:marBottom w:val="0"/>
      <w:divBdr>
        <w:top w:val="none" w:sz="0" w:space="0" w:color="auto"/>
        <w:left w:val="none" w:sz="0" w:space="0" w:color="auto"/>
        <w:bottom w:val="none" w:sz="0" w:space="0" w:color="auto"/>
        <w:right w:val="none" w:sz="0" w:space="0" w:color="auto"/>
      </w:divBdr>
    </w:div>
    <w:div w:id="916983620">
      <w:bodyDiv w:val="1"/>
      <w:marLeft w:val="0"/>
      <w:marRight w:val="0"/>
      <w:marTop w:val="0"/>
      <w:marBottom w:val="0"/>
      <w:divBdr>
        <w:top w:val="none" w:sz="0" w:space="0" w:color="auto"/>
        <w:left w:val="none" w:sz="0" w:space="0" w:color="auto"/>
        <w:bottom w:val="none" w:sz="0" w:space="0" w:color="auto"/>
        <w:right w:val="none" w:sz="0" w:space="0" w:color="auto"/>
      </w:divBdr>
    </w:div>
    <w:div w:id="1007253539">
      <w:bodyDiv w:val="1"/>
      <w:marLeft w:val="0"/>
      <w:marRight w:val="0"/>
      <w:marTop w:val="0"/>
      <w:marBottom w:val="0"/>
      <w:divBdr>
        <w:top w:val="none" w:sz="0" w:space="0" w:color="auto"/>
        <w:left w:val="none" w:sz="0" w:space="0" w:color="auto"/>
        <w:bottom w:val="none" w:sz="0" w:space="0" w:color="auto"/>
        <w:right w:val="none" w:sz="0" w:space="0" w:color="auto"/>
      </w:divBdr>
      <w:divsChild>
        <w:div w:id="1616132875">
          <w:marLeft w:val="0"/>
          <w:marRight w:val="0"/>
          <w:marTop w:val="0"/>
          <w:marBottom w:val="0"/>
          <w:divBdr>
            <w:top w:val="none" w:sz="0" w:space="0" w:color="auto"/>
            <w:left w:val="none" w:sz="0" w:space="0" w:color="auto"/>
            <w:bottom w:val="none" w:sz="0" w:space="0" w:color="auto"/>
            <w:right w:val="none" w:sz="0" w:space="0" w:color="auto"/>
          </w:divBdr>
          <w:divsChild>
            <w:div w:id="143200386">
              <w:marLeft w:val="0"/>
              <w:marRight w:val="0"/>
              <w:marTop w:val="0"/>
              <w:marBottom w:val="0"/>
              <w:divBdr>
                <w:top w:val="none" w:sz="0" w:space="0" w:color="auto"/>
                <w:left w:val="none" w:sz="0" w:space="0" w:color="auto"/>
                <w:bottom w:val="none" w:sz="0" w:space="0" w:color="auto"/>
                <w:right w:val="none" w:sz="0" w:space="0" w:color="auto"/>
              </w:divBdr>
              <w:divsChild>
                <w:div w:id="940602103">
                  <w:marLeft w:val="0"/>
                  <w:marRight w:val="0"/>
                  <w:marTop w:val="0"/>
                  <w:marBottom w:val="0"/>
                  <w:divBdr>
                    <w:top w:val="none" w:sz="0" w:space="0" w:color="auto"/>
                    <w:left w:val="none" w:sz="0" w:space="0" w:color="auto"/>
                    <w:bottom w:val="none" w:sz="0" w:space="0" w:color="auto"/>
                    <w:right w:val="none" w:sz="0" w:space="0" w:color="auto"/>
                  </w:divBdr>
                  <w:divsChild>
                    <w:div w:id="2098749378">
                      <w:marLeft w:val="0"/>
                      <w:marRight w:val="0"/>
                      <w:marTop w:val="0"/>
                      <w:marBottom w:val="0"/>
                      <w:divBdr>
                        <w:top w:val="none" w:sz="0" w:space="0" w:color="auto"/>
                        <w:left w:val="none" w:sz="0" w:space="0" w:color="auto"/>
                        <w:bottom w:val="none" w:sz="0" w:space="0" w:color="auto"/>
                        <w:right w:val="none" w:sz="0" w:space="0" w:color="auto"/>
                      </w:divBdr>
                      <w:divsChild>
                        <w:div w:id="386104989">
                          <w:marLeft w:val="0"/>
                          <w:marRight w:val="0"/>
                          <w:marTop w:val="0"/>
                          <w:marBottom w:val="0"/>
                          <w:divBdr>
                            <w:top w:val="none" w:sz="0" w:space="0" w:color="auto"/>
                            <w:left w:val="none" w:sz="0" w:space="0" w:color="auto"/>
                            <w:bottom w:val="none" w:sz="0" w:space="0" w:color="auto"/>
                            <w:right w:val="none" w:sz="0" w:space="0" w:color="auto"/>
                          </w:divBdr>
                          <w:divsChild>
                            <w:div w:id="1360086308">
                              <w:marLeft w:val="0"/>
                              <w:marRight w:val="0"/>
                              <w:marTop w:val="0"/>
                              <w:marBottom w:val="0"/>
                              <w:divBdr>
                                <w:top w:val="none" w:sz="0" w:space="0" w:color="auto"/>
                                <w:left w:val="none" w:sz="0" w:space="0" w:color="auto"/>
                                <w:bottom w:val="none" w:sz="0" w:space="0" w:color="auto"/>
                                <w:right w:val="none" w:sz="0" w:space="0" w:color="auto"/>
                              </w:divBdr>
                            </w:div>
                            <w:div w:id="212056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939555">
          <w:marLeft w:val="0"/>
          <w:marRight w:val="0"/>
          <w:marTop w:val="0"/>
          <w:marBottom w:val="0"/>
          <w:divBdr>
            <w:top w:val="none" w:sz="0" w:space="0" w:color="auto"/>
            <w:left w:val="none" w:sz="0" w:space="0" w:color="auto"/>
            <w:bottom w:val="none" w:sz="0" w:space="0" w:color="auto"/>
            <w:right w:val="none" w:sz="0" w:space="0" w:color="auto"/>
          </w:divBdr>
          <w:divsChild>
            <w:div w:id="205680160">
              <w:marLeft w:val="0"/>
              <w:marRight w:val="0"/>
              <w:marTop w:val="0"/>
              <w:marBottom w:val="0"/>
              <w:divBdr>
                <w:top w:val="none" w:sz="0" w:space="0" w:color="auto"/>
                <w:left w:val="none" w:sz="0" w:space="0" w:color="auto"/>
                <w:bottom w:val="none" w:sz="0" w:space="0" w:color="auto"/>
                <w:right w:val="none" w:sz="0" w:space="0" w:color="auto"/>
              </w:divBdr>
              <w:divsChild>
                <w:div w:id="32662131">
                  <w:marLeft w:val="0"/>
                  <w:marRight w:val="0"/>
                  <w:marTop w:val="0"/>
                  <w:marBottom w:val="0"/>
                  <w:divBdr>
                    <w:top w:val="none" w:sz="0" w:space="0" w:color="auto"/>
                    <w:left w:val="none" w:sz="0" w:space="0" w:color="auto"/>
                    <w:bottom w:val="none" w:sz="0" w:space="0" w:color="auto"/>
                    <w:right w:val="none" w:sz="0" w:space="0" w:color="auto"/>
                  </w:divBdr>
                  <w:divsChild>
                    <w:div w:id="1051151375">
                      <w:marLeft w:val="0"/>
                      <w:marRight w:val="0"/>
                      <w:marTop w:val="0"/>
                      <w:marBottom w:val="0"/>
                      <w:divBdr>
                        <w:top w:val="none" w:sz="0" w:space="0" w:color="auto"/>
                        <w:left w:val="none" w:sz="0" w:space="0" w:color="auto"/>
                        <w:bottom w:val="none" w:sz="0" w:space="0" w:color="auto"/>
                        <w:right w:val="none" w:sz="0" w:space="0" w:color="auto"/>
                      </w:divBdr>
                      <w:divsChild>
                        <w:div w:id="1501264297">
                          <w:marLeft w:val="0"/>
                          <w:marRight w:val="0"/>
                          <w:marTop w:val="0"/>
                          <w:marBottom w:val="0"/>
                          <w:divBdr>
                            <w:top w:val="none" w:sz="0" w:space="0" w:color="auto"/>
                            <w:left w:val="none" w:sz="0" w:space="0" w:color="auto"/>
                            <w:bottom w:val="none" w:sz="0" w:space="0" w:color="auto"/>
                            <w:right w:val="none" w:sz="0" w:space="0" w:color="auto"/>
                          </w:divBdr>
                          <w:divsChild>
                            <w:div w:id="380637179">
                              <w:marLeft w:val="0"/>
                              <w:marRight w:val="0"/>
                              <w:marTop w:val="0"/>
                              <w:marBottom w:val="0"/>
                              <w:divBdr>
                                <w:top w:val="none" w:sz="0" w:space="0" w:color="auto"/>
                                <w:left w:val="none" w:sz="0" w:space="0" w:color="auto"/>
                                <w:bottom w:val="none" w:sz="0" w:space="0" w:color="auto"/>
                                <w:right w:val="none" w:sz="0" w:space="0" w:color="auto"/>
                              </w:divBdr>
                            </w:div>
                            <w:div w:id="496650000">
                              <w:marLeft w:val="0"/>
                              <w:marRight w:val="0"/>
                              <w:marTop w:val="0"/>
                              <w:marBottom w:val="0"/>
                              <w:divBdr>
                                <w:top w:val="none" w:sz="0" w:space="0" w:color="auto"/>
                                <w:left w:val="none" w:sz="0" w:space="0" w:color="auto"/>
                                <w:bottom w:val="none" w:sz="0" w:space="0" w:color="auto"/>
                                <w:right w:val="none" w:sz="0" w:space="0" w:color="auto"/>
                              </w:divBdr>
                            </w:div>
                            <w:div w:id="1166431781">
                              <w:marLeft w:val="0"/>
                              <w:marRight w:val="0"/>
                              <w:marTop w:val="0"/>
                              <w:marBottom w:val="0"/>
                              <w:divBdr>
                                <w:top w:val="none" w:sz="0" w:space="0" w:color="auto"/>
                                <w:left w:val="none" w:sz="0" w:space="0" w:color="auto"/>
                                <w:bottom w:val="none" w:sz="0" w:space="0" w:color="auto"/>
                                <w:right w:val="none" w:sz="0" w:space="0" w:color="auto"/>
                              </w:divBdr>
                            </w:div>
                            <w:div w:id="13748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689440">
      <w:bodyDiv w:val="1"/>
      <w:marLeft w:val="0"/>
      <w:marRight w:val="0"/>
      <w:marTop w:val="0"/>
      <w:marBottom w:val="0"/>
      <w:divBdr>
        <w:top w:val="none" w:sz="0" w:space="0" w:color="auto"/>
        <w:left w:val="none" w:sz="0" w:space="0" w:color="auto"/>
        <w:bottom w:val="none" w:sz="0" w:space="0" w:color="auto"/>
        <w:right w:val="none" w:sz="0" w:space="0" w:color="auto"/>
      </w:divBdr>
    </w:div>
    <w:div w:id="1499536485">
      <w:bodyDiv w:val="1"/>
      <w:marLeft w:val="0"/>
      <w:marRight w:val="0"/>
      <w:marTop w:val="0"/>
      <w:marBottom w:val="0"/>
      <w:divBdr>
        <w:top w:val="none" w:sz="0" w:space="0" w:color="auto"/>
        <w:left w:val="none" w:sz="0" w:space="0" w:color="auto"/>
        <w:bottom w:val="none" w:sz="0" w:space="0" w:color="auto"/>
        <w:right w:val="none" w:sz="0" w:space="0" w:color="auto"/>
      </w:divBdr>
    </w:div>
    <w:div w:id="1503424914">
      <w:bodyDiv w:val="1"/>
      <w:marLeft w:val="0"/>
      <w:marRight w:val="0"/>
      <w:marTop w:val="0"/>
      <w:marBottom w:val="0"/>
      <w:divBdr>
        <w:top w:val="none" w:sz="0" w:space="0" w:color="auto"/>
        <w:left w:val="none" w:sz="0" w:space="0" w:color="auto"/>
        <w:bottom w:val="none" w:sz="0" w:space="0" w:color="auto"/>
        <w:right w:val="none" w:sz="0" w:space="0" w:color="auto"/>
      </w:divBdr>
    </w:div>
    <w:div w:id="1930119169">
      <w:bodyDiv w:val="1"/>
      <w:marLeft w:val="0"/>
      <w:marRight w:val="0"/>
      <w:marTop w:val="0"/>
      <w:marBottom w:val="0"/>
      <w:divBdr>
        <w:top w:val="none" w:sz="0" w:space="0" w:color="auto"/>
        <w:left w:val="none" w:sz="0" w:space="0" w:color="auto"/>
        <w:bottom w:val="none" w:sz="0" w:space="0" w:color="auto"/>
        <w:right w:val="none" w:sz="0" w:space="0" w:color="auto"/>
      </w:divBdr>
    </w:div>
    <w:div w:id="1986540217">
      <w:bodyDiv w:val="1"/>
      <w:marLeft w:val="0"/>
      <w:marRight w:val="0"/>
      <w:marTop w:val="0"/>
      <w:marBottom w:val="0"/>
      <w:divBdr>
        <w:top w:val="none" w:sz="0" w:space="0" w:color="auto"/>
        <w:left w:val="none" w:sz="0" w:space="0" w:color="auto"/>
        <w:bottom w:val="none" w:sz="0" w:space="0" w:color="auto"/>
        <w:right w:val="none" w:sz="0" w:space="0" w:color="auto"/>
      </w:divBdr>
    </w:div>
    <w:div w:id="207588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ga.gov/legislation/101/SB/PDF/10100SB1864ham006.pdf" TargetMode="External"/><Relationship Id="rId13" Type="http://schemas.openxmlformats.org/officeDocument/2006/relationships/hyperlink" Target="http://ilga.gov/legislation/101/SJR/PDF/10101SJ0001lv.pdf" TargetMode="External"/><Relationship Id="rId18" Type="http://schemas.openxmlformats.org/officeDocument/2006/relationships/hyperlink" Target="http://www.ilga.gov/legislation/101/HB/PDF/10100HB0357sam002.pdf" TargetMode="External"/><Relationship Id="rId26" Type="http://schemas.openxmlformats.org/officeDocument/2006/relationships/hyperlink" Target="http://ilga.gov/legislation/101/SB/PDF/10100SB2052enr.pdf"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ilga.gov/legislation/101/HB/PDF/10100HB2174sam002.pdf" TargetMode="External"/><Relationship Id="rId34" Type="http://schemas.openxmlformats.org/officeDocument/2006/relationships/hyperlink" Target="https://www.politico.com/f/?id=00000172-3bd3-d930-a77f-bbf7d7e30000&amp;nname=illinois-playbook&amp;nid=00000150-1596-d4ac-a1d4-179e288b0000&amp;nrid=00000168-10ac-d6a9-a3ed-d1be2e300000&amp;nlid=639163" TargetMode="External"/><Relationship Id="rId7" Type="http://schemas.openxmlformats.org/officeDocument/2006/relationships/hyperlink" Target="http://ilga.gov/legislation/101/HB/PDF/10100HB2455sam002.pdf" TargetMode="External"/><Relationship Id="rId12" Type="http://schemas.openxmlformats.org/officeDocument/2006/relationships/hyperlink" Target="http://ilga.gov/legislation/101/HJR/PDF/10100HJ0124lv.pdf" TargetMode="External"/><Relationship Id="rId17" Type="http://schemas.openxmlformats.org/officeDocument/2006/relationships/hyperlink" Target="http://ilga.gov/legislation/101/HB/PDF/10100HB0064sam001.pdf" TargetMode="External"/><Relationship Id="rId25" Type="http://schemas.openxmlformats.org/officeDocument/2006/relationships/hyperlink" Target="http://ilga.gov/legislation/101/HB/PDF/10100HB2238enr.pdf" TargetMode="External"/><Relationship Id="rId33" Type="http://schemas.openxmlformats.org/officeDocument/2006/relationships/hyperlink" Target="http://ilga.gov/legislation/101/SB/PDF/10100SB0557eng.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lga.gov/legislation/101/SB/PDF/10100SB2099enr.pdf" TargetMode="External"/><Relationship Id="rId20" Type="http://schemas.openxmlformats.org/officeDocument/2006/relationships/hyperlink" Target="http://ilga.gov/legislation/101/SB/PDF/10100SB0471ham003.pdf" TargetMode="External"/><Relationship Id="rId29" Type="http://schemas.openxmlformats.org/officeDocument/2006/relationships/hyperlink" Target="http://ilga.gov/legislation/101/HB/PDF/10100HB2096enr.pdf" TargetMode="External"/><Relationship Id="rId1" Type="http://schemas.openxmlformats.org/officeDocument/2006/relationships/numbering" Target="numbering.xml"/><Relationship Id="rId6" Type="http://schemas.openxmlformats.org/officeDocument/2006/relationships/hyperlink" Target="https://coronavirus.illinois.gov/sfc/servlet.shepherd/document/download/069t000000BadS0AAJ?operationContext=S1" TargetMode="External"/><Relationship Id="rId11" Type="http://schemas.openxmlformats.org/officeDocument/2006/relationships/hyperlink" Target="http://ilga.gov/legislation/publicacts/101/PDF/101-0008.pdf" TargetMode="External"/><Relationship Id="rId24" Type="http://schemas.openxmlformats.org/officeDocument/2006/relationships/hyperlink" Target="http://ilga.gov/legislation/101/SB/PDF/10100SB1863enr.pdf" TargetMode="External"/><Relationship Id="rId32" Type="http://schemas.openxmlformats.org/officeDocument/2006/relationships/hyperlink" Target="http://ilga.gov/legislation/101/SB/PDF/10100SB0685enr.pdf" TargetMode="External"/><Relationship Id="rId37" Type="http://schemas.openxmlformats.org/officeDocument/2006/relationships/hyperlink" Target="http://ilga.gov/house/schedules/2020_Veto_Session_Calendar.pdf" TargetMode="External"/><Relationship Id="rId5" Type="http://schemas.openxmlformats.org/officeDocument/2006/relationships/hyperlink" Target="https://www2.illinois.gov/Pages/Executive-Orders/ExecutiveOrder2020-10.aspx" TargetMode="External"/><Relationship Id="rId15" Type="http://schemas.openxmlformats.org/officeDocument/2006/relationships/hyperlink" Target="http://ilga.gov/legislation/101/SB/PDF/10100SB0264ham005.pdf" TargetMode="External"/><Relationship Id="rId23" Type="http://schemas.openxmlformats.org/officeDocument/2006/relationships/hyperlink" Target="http://ilga.gov/legislation/101/SB/PDF/10100SB1569enr.pdf" TargetMode="External"/><Relationship Id="rId28" Type="http://schemas.openxmlformats.org/officeDocument/2006/relationships/hyperlink" Target="http://ilga.gov/legislation/BillStatus.asp?DocNum=2682&amp;GAID=15&amp;DocTypeID=HB&amp;LegId=118876&amp;SessionID=108" TargetMode="External"/><Relationship Id="rId36" Type="http://schemas.openxmlformats.org/officeDocument/2006/relationships/hyperlink" Target="http://ilga.gov/senate/schedules/2020_Veto_Calendar.pdf" TargetMode="External"/><Relationship Id="rId10" Type="http://schemas.openxmlformats.org/officeDocument/2006/relationships/hyperlink" Target="http://ilga.gov/legislation/fulltext.asp?DocName=10100SC0001enr&amp;GA=101&amp;SessionId=108&amp;DocTypeId=SJRCA&amp;LegID=114006&amp;DocNum=1&amp;GAID=15&amp;Session=" TargetMode="External"/><Relationship Id="rId19" Type="http://schemas.openxmlformats.org/officeDocument/2006/relationships/hyperlink" Target="http://ilga.gov/legislation/101/SB/PDF/10100SB2541ham001.pdf" TargetMode="External"/><Relationship Id="rId31" Type="http://schemas.openxmlformats.org/officeDocument/2006/relationships/hyperlink" Target="http://ilga.gov/legislation/101/SB/PDF/10100SB0516eng.pdf" TargetMode="External"/><Relationship Id="rId4" Type="http://schemas.openxmlformats.org/officeDocument/2006/relationships/webSettings" Target="webSettings.xml"/><Relationship Id="rId9" Type="http://schemas.openxmlformats.org/officeDocument/2006/relationships/hyperlink" Target="http://ilga.gov/legislation/101/SB/PDF/10100SB2135eng.pdf" TargetMode="External"/><Relationship Id="rId14" Type="http://schemas.openxmlformats.org/officeDocument/2006/relationships/hyperlink" Target="http://ilga.gov/legislation/billstatus.asp?DocNum=1&amp;GAID=15&amp;GA=101&amp;DocTypeID=SJR&amp;LegID=126926&amp;SessionID=109&amp;SpecSess=1" TargetMode="External"/><Relationship Id="rId22" Type="http://schemas.openxmlformats.org/officeDocument/2006/relationships/hyperlink" Target="http://ilga.gov/legislation/101/SB/PDF/10100SB1857enr.pdf" TargetMode="External"/><Relationship Id="rId27" Type="http://schemas.openxmlformats.org/officeDocument/2006/relationships/hyperlink" Target="http://ilga.gov/legislation/101/SB/PDF/10100SB1937enr.pdf" TargetMode="External"/><Relationship Id="rId30" Type="http://schemas.openxmlformats.org/officeDocument/2006/relationships/hyperlink" Target="http://ilga.gov/legislation/101/SB/PDF/10100SB0531ham003.pdf" TargetMode="External"/><Relationship Id="rId35" Type="http://schemas.openxmlformats.org/officeDocument/2006/relationships/hyperlink" Target="https://www.congress.gov/bill/116th-congress/house-bill/8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4179</Words>
  <Characters>23821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cp:lastPrinted>2020-05-26T14:27:00Z</cp:lastPrinted>
  <dcterms:created xsi:type="dcterms:W3CDTF">2020-05-26T20:53:00Z</dcterms:created>
  <dcterms:modified xsi:type="dcterms:W3CDTF">2020-05-26T20:53:00Z</dcterms:modified>
</cp:coreProperties>
</file>