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EF4D" w14:textId="13BACF62" w:rsidR="00FE71FB" w:rsidRPr="00112506" w:rsidRDefault="00C5422B">
      <w:pPr>
        <w:rPr>
          <w:b/>
          <w:bCs/>
          <w:u w:val="single"/>
        </w:rPr>
      </w:pPr>
      <w:r>
        <w:rPr>
          <w:b/>
          <w:bCs/>
          <w:u w:val="single"/>
        </w:rPr>
        <w:t>Session Update Including Workers’ Comp, Unemployment Insurance, OSHA Reporting</w:t>
      </w:r>
    </w:p>
    <w:p w14:paraId="47CC052B" w14:textId="6EA1B900" w:rsidR="00112506" w:rsidRDefault="00C5422B">
      <w:r>
        <w:t>The Illinois General Assembly convened in special session on Wednesday, May 20</w:t>
      </w:r>
      <w:r w:rsidRPr="00C5422B">
        <w:rPr>
          <w:vertAlign w:val="superscript"/>
        </w:rPr>
        <w:t>th</w:t>
      </w:r>
      <w:r>
        <w:t xml:space="preserve">, in Springfield. Both chambers are filing amendments and positioning legislation for final action later in the week. The House and Senate both made changes to their operating rules to balance the health and safety of members and staff to perform necessary legislative functions with the right of the public and press to observe proceedings. Legislators and staff will be required to wear masks and public participation will be limited to written testimony and select observation areas. Both chambers reconvene beginning at 1 P.M. </w:t>
      </w:r>
    </w:p>
    <w:p w14:paraId="5D60EF47" w14:textId="629824B9" w:rsidR="00112506" w:rsidRDefault="00112506"/>
    <w:p w14:paraId="01C5B224" w14:textId="504F5271" w:rsidR="00C5422B" w:rsidRPr="00C5422B" w:rsidRDefault="00C5422B">
      <w:pPr>
        <w:rPr>
          <w:b/>
          <w:bCs/>
          <w:i/>
          <w:iCs/>
        </w:rPr>
      </w:pPr>
      <w:r w:rsidRPr="00C5422B">
        <w:rPr>
          <w:b/>
          <w:bCs/>
          <w:i/>
          <w:iCs/>
        </w:rPr>
        <w:t>Workers’ Compensation Proposal Summary</w:t>
      </w:r>
    </w:p>
    <w:p w14:paraId="3824EBB3" w14:textId="77777777" w:rsidR="00592B3E" w:rsidRDefault="00C5422B">
      <w:r>
        <w:t xml:space="preserve">I wanted to take some time to outline the deals struck for both workers’ compensation insurance and unemployment insurance. As most of you know by now, the </w:t>
      </w:r>
      <w:r w:rsidR="00592B3E">
        <w:t>Governor withdrew the Emergency Rule submitted by the Illinois Workers’ Compensation Commission in late April. The withdrawn emergency rule provided that first responders, emergency workers, and all essential business employees who contracted the COVID-19 virus would be rebuttably presumed to have contracted the virus from their employment. Since the withdrawal, a working group was established to iron out a new deal to go through the legislature.</w:t>
      </w:r>
    </w:p>
    <w:p w14:paraId="050BB2CF" w14:textId="77777777" w:rsidR="00592B3E" w:rsidRDefault="00592B3E"/>
    <w:p w14:paraId="2484A919" w14:textId="3CD563F1" w:rsidR="00112506" w:rsidRDefault="00112506">
      <w:r>
        <w:t>Phil</w:t>
      </w:r>
      <w:r w:rsidR="00592B3E">
        <w:t xml:space="preserve"> Lackman</w:t>
      </w:r>
      <w:r>
        <w:t>, Brett</w:t>
      </w:r>
      <w:r w:rsidR="00592B3E">
        <w:t xml:space="preserve"> Gerger</w:t>
      </w:r>
      <w:r>
        <w:t>, and I received drafts over the weekend of the workers’ compensation insurance proposal. The Illinois Manufacturers’ Association</w:t>
      </w:r>
      <w:r w:rsidR="002A6CF3">
        <w:t xml:space="preserve"> (IMA)</w:t>
      </w:r>
      <w:r>
        <w:t xml:space="preserve"> was the only business group named to represent the business community in the discussions with legislators and the administration. Luckily, because of our close working relationship</w:t>
      </w:r>
      <w:r w:rsidR="002A6CF3">
        <w:t xml:space="preserve"> with the IMA</w:t>
      </w:r>
      <w:r>
        <w:t xml:space="preserve"> we were able to see the drafts of the legislation</w:t>
      </w:r>
      <w:r w:rsidR="00741F82">
        <w:t xml:space="preserve"> prior to introduction in the General Assembly</w:t>
      </w:r>
      <w:bookmarkStart w:id="0" w:name="_GoBack"/>
      <w:bookmarkEnd w:id="0"/>
      <w:r>
        <w:t xml:space="preserve">. </w:t>
      </w:r>
    </w:p>
    <w:p w14:paraId="72823266" w14:textId="07D479A1" w:rsidR="00FB40B5" w:rsidRDefault="00FB40B5"/>
    <w:p w14:paraId="7D4AD1A7" w14:textId="0E1AA6C0" w:rsidR="00FB40B5" w:rsidRDefault="00FB40B5">
      <w:r>
        <w:t>The proposal allows all essential employees to receive rebuttable presumption, however it makes it easier for employers to rebut those claims using an ordinary level of rebuttal. This means that an employer simply has to show “some evidence” that the employee could have contracted the virus elsewhere or that the employer engaged in best practices. The agreement reached with business and labor include the following provisions:</w:t>
      </w:r>
    </w:p>
    <w:p w14:paraId="2F7BC43B" w14:textId="77777777" w:rsidR="00C5422B" w:rsidRDefault="00C5422B"/>
    <w:p w14:paraId="0B7CBB32" w14:textId="60E03832" w:rsidR="00FB40B5" w:rsidRPr="00FB40B5" w:rsidRDefault="00FB40B5" w:rsidP="00FB40B5">
      <w:pPr>
        <w:numPr>
          <w:ilvl w:val="0"/>
          <w:numId w:val="2"/>
        </w:numPr>
        <w:ind w:left="600"/>
        <w:rPr>
          <w:rFonts w:eastAsia="Times New Roman" w:cstheme="minorHAnsi"/>
          <w:color w:val="000000"/>
        </w:rPr>
      </w:pPr>
      <w:r w:rsidRPr="00FB40B5">
        <w:rPr>
          <w:rFonts w:eastAsia="Times New Roman" w:cstheme="minorHAnsi"/>
          <w:color w:val="000000"/>
        </w:rPr>
        <w:t xml:space="preserve">All essential workers can receive the rebuttable presumption. </w:t>
      </w:r>
    </w:p>
    <w:p w14:paraId="4B26341F" w14:textId="3072E865" w:rsidR="00FB40B5" w:rsidRPr="00FB40B5" w:rsidRDefault="00FB40B5" w:rsidP="00FB40B5">
      <w:pPr>
        <w:numPr>
          <w:ilvl w:val="0"/>
          <w:numId w:val="2"/>
        </w:numPr>
        <w:ind w:left="600"/>
        <w:rPr>
          <w:rFonts w:eastAsia="Times New Roman" w:cstheme="minorHAnsi"/>
          <w:color w:val="000000"/>
        </w:rPr>
      </w:pPr>
      <w:r w:rsidRPr="00FB40B5">
        <w:rPr>
          <w:rFonts w:eastAsia="Times New Roman" w:cstheme="minorHAnsi"/>
          <w:color w:val="000000"/>
        </w:rPr>
        <w:t>Employers can use the </w:t>
      </w:r>
      <w:r w:rsidRPr="00FB40B5">
        <w:rPr>
          <w:rFonts w:eastAsia="Times New Roman" w:cstheme="minorHAnsi"/>
          <w:color w:val="000000"/>
          <w:u w:val="single"/>
        </w:rPr>
        <w:t>lowest standard</w:t>
      </w:r>
      <w:r w:rsidRPr="00FB40B5">
        <w:rPr>
          <w:rFonts w:eastAsia="Times New Roman" w:cstheme="minorHAnsi"/>
          <w:color w:val="000000"/>
        </w:rPr>
        <w:t xml:space="preserve"> (ordinary presumption) to rebut the rebuttable presumption. An employer simply has to show that they were following CDC or IDPH guidance and practices. </w:t>
      </w:r>
    </w:p>
    <w:p w14:paraId="13AA63A1" w14:textId="77777777" w:rsidR="00FB40B5" w:rsidRPr="00FB40B5" w:rsidRDefault="00FB40B5" w:rsidP="00FB40B5">
      <w:pPr>
        <w:numPr>
          <w:ilvl w:val="0"/>
          <w:numId w:val="2"/>
        </w:numPr>
        <w:ind w:left="600"/>
        <w:rPr>
          <w:rFonts w:eastAsia="Times New Roman" w:cstheme="minorHAnsi"/>
          <w:color w:val="000000"/>
        </w:rPr>
      </w:pPr>
      <w:r w:rsidRPr="00FB40B5">
        <w:rPr>
          <w:rFonts w:eastAsia="Times New Roman" w:cstheme="minorHAnsi"/>
          <w:color w:val="000000"/>
        </w:rPr>
        <w:t>The employer’s experience modification </w:t>
      </w:r>
      <w:r w:rsidRPr="00FB40B5">
        <w:rPr>
          <w:rFonts w:eastAsia="Times New Roman" w:cstheme="minorHAnsi"/>
          <w:color w:val="000000"/>
          <w:u w:val="single"/>
        </w:rPr>
        <w:t>will not change</w:t>
      </w:r>
      <w:r w:rsidRPr="00FB40B5">
        <w:rPr>
          <w:rFonts w:eastAsia="Times New Roman" w:cstheme="minorHAnsi"/>
          <w:color w:val="000000"/>
        </w:rPr>
        <w:t> due to COVID.</w:t>
      </w:r>
    </w:p>
    <w:p w14:paraId="0ABCCD37" w14:textId="77777777" w:rsidR="00FB40B5" w:rsidRPr="00FB40B5" w:rsidRDefault="00FB40B5" w:rsidP="00FB40B5">
      <w:pPr>
        <w:numPr>
          <w:ilvl w:val="0"/>
          <w:numId w:val="2"/>
        </w:numPr>
        <w:ind w:left="600"/>
        <w:rPr>
          <w:rFonts w:eastAsia="Times New Roman" w:cstheme="minorHAnsi"/>
          <w:color w:val="000000"/>
        </w:rPr>
      </w:pPr>
      <w:r w:rsidRPr="00FB40B5">
        <w:rPr>
          <w:rFonts w:eastAsia="Times New Roman" w:cstheme="minorHAnsi"/>
          <w:color w:val="000000"/>
        </w:rPr>
        <w:t>A home or residence </w:t>
      </w:r>
      <w:r w:rsidRPr="00FB40B5">
        <w:rPr>
          <w:rFonts w:eastAsia="Times New Roman" w:cstheme="minorHAnsi"/>
          <w:color w:val="000000"/>
          <w:u w:val="single"/>
        </w:rPr>
        <w:t>is not </w:t>
      </w:r>
      <w:r w:rsidRPr="00FB40B5">
        <w:rPr>
          <w:rFonts w:eastAsia="Times New Roman" w:cstheme="minorHAnsi"/>
          <w:color w:val="000000"/>
        </w:rPr>
        <w:t>the workplace.</w:t>
      </w:r>
    </w:p>
    <w:p w14:paraId="08197387" w14:textId="434A3C83" w:rsidR="00FB40B5" w:rsidRPr="00FB40B5" w:rsidRDefault="00FB40B5" w:rsidP="00FB40B5">
      <w:pPr>
        <w:numPr>
          <w:ilvl w:val="0"/>
          <w:numId w:val="2"/>
        </w:numPr>
        <w:ind w:left="600"/>
        <w:rPr>
          <w:rFonts w:eastAsia="Times New Roman" w:cstheme="minorHAnsi"/>
          <w:color w:val="000000"/>
        </w:rPr>
      </w:pPr>
      <w:r w:rsidRPr="00FB40B5">
        <w:rPr>
          <w:rFonts w:eastAsia="Times New Roman" w:cstheme="minorHAnsi"/>
          <w:color w:val="000000"/>
        </w:rPr>
        <w:t xml:space="preserve">The presumption ends of December 31, 2020. </w:t>
      </w:r>
    </w:p>
    <w:p w14:paraId="5371AC87" w14:textId="77777777" w:rsidR="00FB40B5" w:rsidRPr="00FB40B5" w:rsidRDefault="00FB40B5" w:rsidP="00FB40B5">
      <w:pPr>
        <w:numPr>
          <w:ilvl w:val="0"/>
          <w:numId w:val="2"/>
        </w:numPr>
        <w:ind w:left="600"/>
        <w:rPr>
          <w:rFonts w:eastAsia="Times New Roman" w:cstheme="minorHAnsi"/>
          <w:color w:val="000000"/>
        </w:rPr>
      </w:pPr>
      <w:r w:rsidRPr="00FB40B5">
        <w:rPr>
          <w:rFonts w:eastAsia="Times New Roman" w:cstheme="minorHAnsi"/>
          <w:color w:val="000000"/>
        </w:rPr>
        <w:t>Employers receive a TTD offset for employees that were on paid leave or extended FMLA.</w:t>
      </w:r>
    </w:p>
    <w:p w14:paraId="4AF49082" w14:textId="120054EB" w:rsidR="00FB40B5" w:rsidRPr="00FB40B5" w:rsidRDefault="00FB40B5" w:rsidP="00FB40B5">
      <w:pPr>
        <w:numPr>
          <w:ilvl w:val="0"/>
          <w:numId w:val="2"/>
        </w:numPr>
        <w:ind w:left="600"/>
        <w:rPr>
          <w:rFonts w:eastAsia="Times New Roman" w:cstheme="minorHAnsi"/>
          <w:color w:val="000000"/>
        </w:rPr>
      </w:pPr>
      <w:r w:rsidRPr="00FB40B5">
        <w:rPr>
          <w:rFonts w:eastAsia="Times New Roman" w:cstheme="minorHAnsi"/>
          <w:color w:val="000000"/>
        </w:rPr>
        <w:t xml:space="preserve">The employee has to have been exposed and contracted the virus. Simple exposure does not qualify. </w:t>
      </w:r>
    </w:p>
    <w:p w14:paraId="2358A06C" w14:textId="31C6815B" w:rsidR="00FB40B5" w:rsidRPr="00FB40B5" w:rsidRDefault="00FB40B5" w:rsidP="00FB40B5">
      <w:pPr>
        <w:numPr>
          <w:ilvl w:val="0"/>
          <w:numId w:val="2"/>
        </w:numPr>
        <w:ind w:left="600"/>
        <w:rPr>
          <w:rFonts w:eastAsia="Times New Roman" w:cstheme="minorHAnsi"/>
          <w:color w:val="000000"/>
        </w:rPr>
      </w:pPr>
      <w:r w:rsidRPr="00FB40B5">
        <w:rPr>
          <w:rFonts w:eastAsia="Times New Roman" w:cstheme="minorHAnsi"/>
          <w:color w:val="000000"/>
        </w:rPr>
        <w:t xml:space="preserve">Before June 15, an employee has to have a positive diagnosis or medical test; on or after June 16, a positive test is required. </w:t>
      </w:r>
    </w:p>
    <w:p w14:paraId="065F6B82" w14:textId="4B1686F5" w:rsidR="00FB40B5" w:rsidRDefault="00FB40B5" w:rsidP="00FB40B5"/>
    <w:p w14:paraId="74571B7A" w14:textId="3C790B0E" w:rsidR="00112506" w:rsidRDefault="00FB40B5">
      <w:r>
        <w:t xml:space="preserve">A copy of the draft legislation is </w:t>
      </w:r>
      <w:hyperlink r:id="rId5" w:history="1">
        <w:r w:rsidRPr="00FB40B5">
          <w:rPr>
            <w:rStyle w:val="Hyperlink"/>
          </w:rPr>
          <w:t>here</w:t>
        </w:r>
      </w:hyperlink>
      <w:r>
        <w:t xml:space="preserve"> and legislative intent will be read into the record. </w:t>
      </w:r>
    </w:p>
    <w:p w14:paraId="5EAC96BB" w14:textId="77777777" w:rsidR="00C5422B" w:rsidRDefault="00C5422B">
      <w:pPr>
        <w:rPr>
          <w:b/>
          <w:bCs/>
          <w:i/>
          <w:iCs/>
        </w:rPr>
      </w:pPr>
    </w:p>
    <w:p w14:paraId="37CDC366" w14:textId="0CB38972" w:rsidR="00FB40B5" w:rsidRPr="00FB40B5" w:rsidRDefault="00FB40B5">
      <w:pPr>
        <w:rPr>
          <w:b/>
          <w:bCs/>
          <w:i/>
          <w:iCs/>
        </w:rPr>
      </w:pPr>
      <w:r w:rsidRPr="00FB40B5">
        <w:rPr>
          <w:b/>
          <w:bCs/>
          <w:i/>
          <w:iCs/>
        </w:rPr>
        <w:t>Unemployment Insurance Proposal</w:t>
      </w:r>
    </w:p>
    <w:p w14:paraId="4014AE16" w14:textId="1E1F663E" w:rsidR="00FB40B5" w:rsidRDefault="00FB40B5" w:rsidP="00FB40B5">
      <w:pPr>
        <w:rPr>
          <w:rFonts w:eastAsia="Times New Roman" w:cstheme="minorHAnsi"/>
          <w:color w:val="000000"/>
        </w:rPr>
      </w:pPr>
      <w:r w:rsidRPr="00FB40B5">
        <w:rPr>
          <w:rFonts w:eastAsia="Times New Roman" w:cstheme="minorHAnsi"/>
          <w:color w:val="000000"/>
        </w:rPr>
        <w:t>The Illinois Unemployment Insurance Trust Fund which totaled nearly $2.5 billion at the start of the year has been drained with record layoffs. Early projections indicate that the Trust Fund could be in debt by $8 to $14 billion over the next three years. In order to receive billions of dollars in federal money, Illinois had to take two specific steps including (1) waiving the one-week waiting period, and (2) making the layoffs a non-chargeable event for the employer. The agreement reached today includes:</w:t>
      </w:r>
    </w:p>
    <w:p w14:paraId="35A217FD" w14:textId="77777777" w:rsidR="00C5422B" w:rsidRPr="00FB40B5" w:rsidRDefault="00C5422B" w:rsidP="00FB40B5">
      <w:pPr>
        <w:rPr>
          <w:rFonts w:eastAsia="Times New Roman" w:cstheme="minorHAnsi"/>
          <w:color w:val="000000"/>
        </w:rPr>
      </w:pPr>
    </w:p>
    <w:p w14:paraId="746751B7" w14:textId="77777777" w:rsidR="00FB40B5" w:rsidRPr="00FB40B5" w:rsidRDefault="00FB40B5" w:rsidP="00FB40B5">
      <w:pPr>
        <w:numPr>
          <w:ilvl w:val="0"/>
          <w:numId w:val="3"/>
        </w:numPr>
        <w:ind w:left="600"/>
        <w:rPr>
          <w:rFonts w:eastAsia="Times New Roman" w:cstheme="minorHAnsi"/>
          <w:color w:val="000000"/>
        </w:rPr>
      </w:pPr>
      <w:r w:rsidRPr="00FB40B5">
        <w:rPr>
          <w:rFonts w:eastAsia="Times New Roman" w:cstheme="minorHAnsi"/>
          <w:color w:val="000000"/>
        </w:rPr>
        <w:t>Employers will not be charged for layoffs between March 15, 2020, and December 31, 2020. These costs will be socialized in the system.</w:t>
      </w:r>
    </w:p>
    <w:p w14:paraId="3AB6BD83" w14:textId="77777777" w:rsidR="00FB40B5" w:rsidRPr="00FB40B5" w:rsidRDefault="00FB40B5" w:rsidP="00FB40B5">
      <w:pPr>
        <w:numPr>
          <w:ilvl w:val="0"/>
          <w:numId w:val="3"/>
        </w:numPr>
        <w:ind w:left="600"/>
        <w:rPr>
          <w:rFonts w:eastAsia="Times New Roman" w:cstheme="minorHAnsi"/>
          <w:color w:val="000000"/>
        </w:rPr>
      </w:pPr>
      <w:r w:rsidRPr="00FB40B5">
        <w:rPr>
          <w:rFonts w:eastAsia="Times New Roman" w:cstheme="minorHAnsi"/>
          <w:color w:val="000000"/>
        </w:rPr>
        <w:t>Illinois will receive $2.1 billion in matching federal dollars to pay for the extended benefits (seven weeks) that kick in when the state’s unemployment rate reaches a certain level.</w:t>
      </w:r>
    </w:p>
    <w:p w14:paraId="0F9110F3" w14:textId="77777777" w:rsidR="00FB40B5" w:rsidRPr="00FB40B5" w:rsidRDefault="00FB40B5" w:rsidP="00FB40B5">
      <w:pPr>
        <w:numPr>
          <w:ilvl w:val="0"/>
          <w:numId w:val="3"/>
        </w:numPr>
        <w:ind w:left="600"/>
        <w:rPr>
          <w:rFonts w:eastAsia="Times New Roman" w:cstheme="minorHAnsi"/>
          <w:color w:val="000000"/>
        </w:rPr>
      </w:pPr>
      <w:r w:rsidRPr="00FB40B5">
        <w:rPr>
          <w:rFonts w:eastAsia="Times New Roman" w:cstheme="minorHAnsi"/>
          <w:color w:val="000000"/>
        </w:rPr>
        <w:t>Illinois will receive $20 million in federal money to pay for administrative costs at the Illinois Department of Employment Security.</w:t>
      </w:r>
    </w:p>
    <w:p w14:paraId="4B440342" w14:textId="7E208B49" w:rsidR="00FB40B5" w:rsidRPr="00FB40B5" w:rsidRDefault="00FB40B5" w:rsidP="00FB40B5">
      <w:pPr>
        <w:numPr>
          <w:ilvl w:val="0"/>
          <w:numId w:val="3"/>
        </w:numPr>
        <w:ind w:left="600"/>
        <w:rPr>
          <w:rFonts w:eastAsia="Times New Roman" w:cstheme="minorHAnsi"/>
          <w:color w:val="000000"/>
        </w:rPr>
      </w:pPr>
      <w:r w:rsidRPr="00FB40B5">
        <w:rPr>
          <w:rFonts w:eastAsia="Times New Roman" w:cstheme="minorHAnsi"/>
          <w:color w:val="000000"/>
        </w:rPr>
        <w:t>Non-instructional educational employees (custodians, bus drivers, etc</w:t>
      </w:r>
      <w:r w:rsidR="001D7ADF">
        <w:rPr>
          <w:rFonts w:eastAsia="Times New Roman" w:cstheme="minorHAnsi"/>
          <w:color w:val="000000"/>
        </w:rPr>
        <w:t>.</w:t>
      </w:r>
      <w:r w:rsidRPr="00FB40B5">
        <w:rPr>
          <w:rFonts w:eastAsia="Times New Roman" w:cstheme="minorHAnsi"/>
          <w:color w:val="000000"/>
        </w:rPr>
        <w:t>) that work for school districts (not private companies) will receive unemployment insurance benefits if they are not paid over a 12-month period of time. These are employees who typically take second jobs in the summer and may not be able to find short-term employment this summer. The federal government will fund half of the cost equating to $210 million.</w:t>
      </w:r>
    </w:p>
    <w:p w14:paraId="0B3DD1AC" w14:textId="77777777" w:rsidR="00FB40B5" w:rsidRPr="00FB40B5" w:rsidRDefault="00FB40B5" w:rsidP="00FB40B5">
      <w:pPr>
        <w:numPr>
          <w:ilvl w:val="0"/>
          <w:numId w:val="3"/>
        </w:numPr>
        <w:ind w:left="600"/>
        <w:rPr>
          <w:rFonts w:eastAsia="Times New Roman" w:cstheme="minorHAnsi"/>
          <w:color w:val="000000"/>
        </w:rPr>
      </w:pPr>
      <w:r w:rsidRPr="00FB40B5">
        <w:rPr>
          <w:rFonts w:eastAsia="Times New Roman" w:cstheme="minorHAnsi"/>
          <w:color w:val="000000"/>
        </w:rPr>
        <w:t>Illinois will engage in another unemployment insurance agreed bill process in coming years. Typically, both sides agree to a series of tax hikes and benefit cuts that force both sides to the negotiating table. These “speed bumps” are set at $500 million for both sides in this agreement. Since the 1980s, these “speed bumps” have never become law because both sides reach agreement.</w:t>
      </w:r>
    </w:p>
    <w:p w14:paraId="5DA16D07" w14:textId="77777777" w:rsidR="00FB40B5" w:rsidRPr="00FB40B5" w:rsidRDefault="00FB40B5" w:rsidP="00FB40B5">
      <w:pPr>
        <w:numPr>
          <w:ilvl w:val="0"/>
          <w:numId w:val="3"/>
        </w:numPr>
        <w:ind w:left="600"/>
        <w:rPr>
          <w:rFonts w:eastAsia="Times New Roman" w:cstheme="minorHAnsi"/>
          <w:color w:val="000000"/>
        </w:rPr>
      </w:pPr>
      <w:r w:rsidRPr="00FB40B5">
        <w:rPr>
          <w:rFonts w:eastAsia="Times New Roman" w:cstheme="minorHAnsi"/>
          <w:color w:val="000000"/>
        </w:rPr>
        <w:t>Business and labor agreed to cooperate on efforts to obtain additional federal assistance to help resolve the coming Trust Fund deficit. Illinois’ previous record deficit was $3 billion so the coming debt could significantly surpass that total.</w:t>
      </w:r>
    </w:p>
    <w:p w14:paraId="14E09291" w14:textId="77777777" w:rsidR="00FB40B5" w:rsidRPr="00FB40B5" w:rsidRDefault="00FB40B5" w:rsidP="00FB40B5">
      <w:pPr>
        <w:numPr>
          <w:ilvl w:val="0"/>
          <w:numId w:val="3"/>
        </w:numPr>
        <w:ind w:left="600"/>
        <w:rPr>
          <w:rFonts w:eastAsia="Times New Roman" w:cstheme="minorHAnsi"/>
          <w:color w:val="000000"/>
        </w:rPr>
      </w:pPr>
      <w:r w:rsidRPr="00FB40B5">
        <w:rPr>
          <w:rFonts w:eastAsia="Times New Roman" w:cstheme="minorHAnsi"/>
          <w:color w:val="000000"/>
        </w:rPr>
        <w:t>Eliminated a $50 million “chit” that employers owed to labor from the last agreed bill process because of the significant savings that employers received when the misconduct rules were amended to make it easier to deny benefits for workers who were terminated for misconduct.</w:t>
      </w:r>
    </w:p>
    <w:p w14:paraId="7FB841C2" w14:textId="4A5C8A93" w:rsidR="00FB40B5" w:rsidRDefault="00FB40B5"/>
    <w:p w14:paraId="1AFAB16D" w14:textId="6E28A849" w:rsidR="002A6CF3" w:rsidRPr="002A6CF3" w:rsidRDefault="002A6CF3" w:rsidP="002A6CF3">
      <w:pPr>
        <w:rPr>
          <w:rFonts w:ascii="Arial" w:hAnsi="Arial" w:cs="Arial"/>
          <w:color w:val="000000"/>
          <w:sz w:val="21"/>
          <w:szCs w:val="21"/>
        </w:rPr>
      </w:pPr>
      <w:r>
        <w:rPr>
          <w:rFonts w:ascii="Arial" w:hAnsi="Arial" w:cs="Arial"/>
          <w:b/>
          <w:bCs/>
          <w:color w:val="000000"/>
          <w:sz w:val="21"/>
          <w:szCs w:val="21"/>
        </w:rPr>
        <w:t>OSHA Reporting</w:t>
      </w:r>
    </w:p>
    <w:p w14:paraId="1E75728C" w14:textId="28CCEB29" w:rsidR="002A6CF3" w:rsidRPr="002A6CF3" w:rsidRDefault="002A6CF3" w:rsidP="002A6CF3">
      <w:pPr>
        <w:rPr>
          <w:rFonts w:cstheme="minorHAnsi"/>
          <w:color w:val="000000"/>
        </w:rPr>
      </w:pPr>
      <w:r w:rsidRPr="002A6CF3">
        <w:rPr>
          <w:rFonts w:cstheme="minorHAnsi"/>
          <w:color w:val="000000"/>
        </w:rPr>
        <w:t>OSHA announced today that employer will not have to record positive cased of COVID-19 for recordkeeping purposes. This is a complete reversal of the ruling made several weeks ago by the Agency and requires employees to determine where an employee contracted the virus. The reporting is required if the employer determines that the workplace is where the virus was contracted. A copy of the new revised guidance can be found</w:t>
      </w:r>
      <w:r w:rsidRPr="002A6CF3">
        <w:rPr>
          <w:rStyle w:val="apple-converted-space"/>
          <w:rFonts w:cstheme="minorHAnsi"/>
          <w:color w:val="000000"/>
        </w:rPr>
        <w:t xml:space="preserve"> </w:t>
      </w:r>
      <w:hyperlink r:id="rId6" w:history="1">
        <w:r w:rsidRPr="002A6CF3">
          <w:rPr>
            <w:rStyle w:val="Hyperlink"/>
            <w:rFonts w:cstheme="minorHAnsi"/>
          </w:rPr>
          <w:t>here</w:t>
        </w:r>
      </w:hyperlink>
      <w:r w:rsidRPr="002A6CF3">
        <w:rPr>
          <w:rStyle w:val="apple-converted-space"/>
          <w:rFonts w:cstheme="minorHAnsi"/>
          <w:color w:val="000000"/>
        </w:rPr>
        <w:t xml:space="preserve">. </w:t>
      </w:r>
      <w:r w:rsidRPr="002A6CF3">
        <w:rPr>
          <w:rFonts w:cstheme="minorHAnsi"/>
          <w:color w:val="000000"/>
        </w:rPr>
        <w:t xml:space="preserve"> </w:t>
      </w:r>
    </w:p>
    <w:p w14:paraId="5B3D1107" w14:textId="77777777" w:rsidR="002A6CF3" w:rsidRDefault="002A6CF3"/>
    <w:sectPr w:rsidR="002A6CF3" w:rsidSect="006A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A0C0B"/>
    <w:multiLevelType w:val="multilevel"/>
    <w:tmpl w:val="6E46E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36667"/>
    <w:multiLevelType w:val="hybridMultilevel"/>
    <w:tmpl w:val="D7348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5012A"/>
    <w:multiLevelType w:val="multilevel"/>
    <w:tmpl w:val="B7A2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06"/>
    <w:rsid w:val="00112506"/>
    <w:rsid w:val="001D7ADF"/>
    <w:rsid w:val="002A6CF3"/>
    <w:rsid w:val="004F6A46"/>
    <w:rsid w:val="00592B3E"/>
    <w:rsid w:val="005B1D54"/>
    <w:rsid w:val="006A1334"/>
    <w:rsid w:val="00741F82"/>
    <w:rsid w:val="00C5422B"/>
    <w:rsid w:val="00FB40B5"/>
    <w:rsid w:val="00FE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73C0"/>
  <w15:chartTrackingRefBased/>
  <w15:docId w15:val="{9F1B6AB0-3649-5848-89A5-E437EAF0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0B5"/>
    <w:pPr>
      <w:ind w:left="720"/>
      <w:contextualSpacing/>
    </w:pPr>
  </w:style>
  <w:style w:type="character" w:customStyle="1" w:styleId="apple-converted-space">
    <w:name w:val="apple-converted-space"/>
    <w:basedOn w:val="DefaultParagraphFont"/>
    <w:rsid w:val="00FB40B5"/>
  </w:style>
  <w:style w:type="character" w:styleId="Hyperlink">
    <w:name w:val="Hyperlink"/>
    <w:basedOn w:val="DefaultParagraphFont"/>
    <w:uiPriority w:val="99"/>
    <w:unhideWhenUsed/>
    <w:rsid w:val="00FB40B5"/>
    <w:rPr>
      <w:color w:val="0563C1" w:themeColor="hyperlink"/>
      <w:u w:val="single"/>
    </w:rPr>
  </w:style>
  <w:style w:type="character" w:styleId="UnresolvedMention">
    <w:name w:val="Unresolved Mention"/>
    <w:basedOn w:val="DefaultParagraphFont"/>
    <w:uiPriority w:val="99"/>
    <w:semiHidden/>
    <w:unhideWhenUsed/>
    <w:rsid w:val="00FB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13564">
      <w:bodyDiv w:val="1"/>
      <w:marLeft w:val="0"/>
      <w:marRight w:val="0"/>
      <w:marTop w:val="0"/>
      <w:marBottom w:val="0"/>
      <w:divBdr>
        <w:top w:val="none" w:sz="0" w:space="0" w:color="auto"/>
        <w:left w:val="none" w:sz="0" w:space="0" w:color="auto"/>
        <w:bottom w:val="none" w:sz="0" w:space="0" w:color="auto"/>
        <w:right w:val="none" w:sz="0" w:space="0" w:color="auto"/>
      </w:divBdr>
    </w:div>
    <w:div w:id="1004094413">
      <w:bodyDiv w:val="1"/>
      <w:marLeft w:val="0"/>
      <w:marRight w:val="0"/>
      <w:marTop w:val="0"/>
      <w:marBottom w:val="0"/>
      <w:divBdr>
        <w:top w:val="none" w:sz="0" w:space="0" w:color="auto"/>
        <w:left w:val="none" w:sz="0" w:space="0" w:color="auto"/>
        <w:bottom w:val="none" w:sz="0" w:space="0" w:color="auto"/>
        <w:right w:val="none" w:sz="0" w:space="0" w:color="auto"/>
      </w:divBdr>
    </w:div>
    <w:div w:id="116412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memos/2020-05-19/revised-enforcement-guidance-recording-cases-coronavirus-disease-2019-covid-19" TargetMode="External"/><Relationship Id="rId5" Type="http://schemas.openxmlformats.org/officeDocument/2006/relationships/hyperlink" Target="https://files.constantcontact.com/ddcfec58001/c17a1625-4ad1-4253-bce3-a7dc6d34565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Manning</dc:creator>
  <cp:keywords/>
  <dc:description/>
  <cp:lastModifiedBy>Evan Manning</cp:lastModifiedBy>
  <cp:revision>3</cp:revision>
  <dcterms:created xsi:type="dcterms:W3CDTF">2020-05-21T13:52:00Z</dcterms:created>
  <dcterms:modified xsi:type="dcterms:W3CDTF">2020-05-21T13:53:00Z</dcterms:modified>
</cp:coreProperties>
</file>