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D029" w14:textId="0F462C56" w:rsidR="006F297D" w:rsidRPr="00E97822" w:rsidRDefault="00F8635C">
      <w:pPr>
        <w:rPr>
          <w:rFonts w:cstheme="minorHAnsi"/>
          <w:b/>
          <w:bCs/>
          <w:caps/>
          <w:sz w:val="28"/>
          <w:szCs w:val="28"/>
        </w:rPr>
      </w:pPr>
      <w:bookmarkStart w:id="0" w:name="_GoBack"/>
      <w:bookmarkEnd w:id="0"/>
      <w:r w:rsidRPr="00963887">
        <w:rPr>
          <w:rFonts w:cstheme="minorHAnsi"/>
          <w:b/>
          <w:bCs/>
          <w:caps/>
          <w:sz w:val="28"/>
          <w:szCs w:val="28"/>
        </w:rPr>
        <w:t>Governor’s Highlights:</w:t>
      </w:r>
    </w:p>
    <w:p w14:paraId="1D512F94" w14:textId="4F0FB24D" w:rsidR="006F297D" w:rsidRDefault="006F297D">
      <w:pPr>
        <w:rPr>
          <w:rFonts w:cstheme="minorHAnsi"/>
        </w:rPr>
      </w:pPr>
      <w:r w:rsidRPr="00F302CA">
        <w:rPr>
          <w:b/>
          <w:bCs/>
        </w:rPr>
        <w:t>Gov.  JB Pritzker</w:t>
      </w:r>
      <w:r>
        <w:t xml:space="preserve"> signed legislation, </w:t>
      </w:r>
      <w:hyperlink r:id="rId5" w:history="1">
        <w:r w:rsidRPr="00F302CA">
          <w:rPr>
            <w:rStyle w:val="Hyperlink"/>
            <w:b/>
            <w:bCs/>
          </w:rPr>
          <w:t>HB0961</w:t>
        </w:r>
      </w:hyperlink>
      <w:r w:rsidRPr="00F302CA">
        <w:rPr>
          <w:b/>
          <w:bCs/>
        </w:rPr>
        <w:t xml:space="preserve"> (Crespo/Ellman)</w:t>
      </w:r>
      <w:r w:rsidR="0056725B">
        <w:t>,</w:t>
      </w:r>
      <w:r>
        <w:t xml:space="preserve"> accelerating the multi-year </w:t>
      </w:r>
      <w:r w:rsidRPr="00F302CA">
        <w:rPr>
          <w:b/>
          <w:bCs/>
        </w:rPr>
        <w:t xml:space="preserve">senior homestead exemption </w:t>
      </w:r>
      <w:r>
        <w:t>in Cook County.</w:t>
      </w:r>
    </w:p>
    <w:p w14:paraId="6B492A35" w14:textId="2A03BCCD" w:rsidR="00393DE0" w:rsidRDefault="00F8635C">
      <w:pPr>
        <w:rPr>
          <w:rFonts w:cstheme="minorHAnsi"/>
        </w:rPr>
      </w:pPr>
      <w:r w:rsidRPr="00F8635C">
        <w:rPr>
          <w:rFonts w:cstheme="minorHAnsi"/>
        </w:rPr>
        <w:t xml:space="preserve">Illinois </w:t>
      </w:r>
      <w:r w:rsidRPr="00F302CA">
        <w:rPr>
          <w:rFonts w:cstheme="minorHAnsi"/>
          <w:b/>
          <w:bCs/>
        </w:rPr>
        <w:t>Department of Agriculture Director John Sullivan</w:t>
      </w:r>
      <w:r w:rsidRPr="00F8635C">
        <w:rPr>
          <w:rFonts w:cstheme="minorHAnsi"/>
        </w:rPr>
        <w:t xml:space="preserve"> resigned over the weekend.  He is being replaced by </w:t>
      </w:r>
      <w:r w:rsidRPr="00F302CA">
        <w:rPr>
          <w:rFonts w:cstheme="minorHAnsi"/>
          <w:b/>
          <w:bCs/>
        </w:rPr>
        <w:t xml:space="preserve">Acting Director </w:t>
      </w:r>
      <w:r w:rsidR="00393DE0" w:rsidRPr="00F302CA">
        <w:rPr>
          <w:rFonts w:cstheme="minorHAnsi"/>
          <w:b/>
          <w:bCs/>
        </w:rPr>
        <w:t>Jeremy Flynn</w:t>
      </w:r>
      <w:r w:rsidRPr="00F8635C">
        <w:rPr>
          <w:rFonts w:cstheme="minorHAnsi"/>
        </w:rPr>
        <w:t xml:space="preserve"> who </w:t>
      </w:r>
      <w:r w:rsidR="0056725B">
        <w:rPr>
          <w:rFonts w:cstheme="minorHAnsi"/>
        </w:rPr>
        <w:t>was serving</w:t>
      </w:r>
      <w:r w:rsidRPr="00F8635C">
        <w:rPr>
          <w:rFonts w:cstheme="minorHAnsi"/>
        </w:rPr>
        <w:t xml:space="preserve"> as the agency’s </w:t>
      </w:r>
      <w:r w:rsidR="00393DE0" w:rsidRPr="00F8635C">
        <w:rPr>
          <w:rFonts w:cstheme="minorHAnsi"/>
        </w:rPr>
        <w:t>Chief of Staff</w:t>
      </w:r>
      <w:r w:rsidRPr="00F8635C">
        <w:rPr>
          <w:rFonts w:cstheme="minorHAnsi"/>
        </w:rPr>
        <w:t>.</w:t>
      </w:r>
    </w:p>
    <w:p w14:paraId="20721E0D" w14:textId="587CDB64" w:rsidR="00C4081D" w:rsidRPr="00C4081D" w:rsidRDefault="0056725B" w:rsidP="00C4081D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C4081D" w:rsidRPr="00F302CA">
        <w:rPr>
          <w:rFonts w:eastAsia="Times New Roman" w:cstheme="minorHAnsi"/>
          <w:b/>
          <w:bCs/>
        </w:rPr>
        <w:t>Illinois Department of Financial and Professional Regulation</w:t>
      </w:r>
      <w:r w:rsidR="00C4081D" w:rsidRPr="00C4081D">
        <w:rPr>
          <w:rFonts w:eastAsia="Times New Roman" w:cstheme="minorHAnsi"/>
        </w:rPr>
        <w:t xml:space="preserve"> announced </w:t>
      </w:r>
      <w:r w:rsidR="00C4081D" w:rsidRPr="00F302CA">
        <w:rPr>
          <w:rFonts w:eastAsia="Times New Roman" w:cstheme="minorHAnsi"/>
          <w:b/>
          <w:bCs/>
        </w:rPr>
        <w:t>one more "Same Site" adult use cannabis license</w:t>
      </w:r>
      <w:r w:rsidR="00C4081D" w:rsidRPr="00C4081D">
        <w:rPr>
          <w:rFonts w:eastAsia="Times New Roman" w:cstheme="minorHAnsi"/>
        </w:rPr>
        <w:t xml:space="preserve">, which will allow an existing medical cannabis dispensary to obtain an adult use dispensing license. </w:t>
      </w:r>
      <w:r>
        <w:rPr>
          <w:rFonts w:eastAsia="Times New Roman" w:cstheme="minorHAnsi"/>
        </w:rPr>
        <w:t>In addition, the Department announced</w:t>
      </w:r>
      <w:r w:rsidR="00C4081D" w:rsidRPr="00C4081D">
        <w:rPr>
          <w:rFonts w:eastAsia="Times New Roman" w:cstheme="minorHAnsi"/>
        </w:rPr>
        <w:t xml:space="preserve"> the </w:t>
      </w:r>
      <w:r w:rsidR="00C4081D" w:rsidRPr="00F302CA">
        <w:rPr>
          <w:rFonts w:eastAsia="Times New Roman" w:cstheme="minorHAnsi"/>
          <w:b/>
          <w:bCs/>
        </w:rPr>
        <w:t>second "Secondary Site" adult use cannabis license</w:t>
      </w:r>
      <w:r w:rsidR="00C4081D" w:rsidRPr="00C4081D">
        <w:rPr>
          <w:rFonts w:eastAsia="Times New Roman" w:cstheme="minorHAnsi"/>
        </w:rPr>
        <w:t xml:space="preserve">, which will allow an existing medical cannabis dispensary to obtain an adult use dispensing organization license within a limited geographic area. </w:t>
      </w:r>
      <w:r w:rsidR="00F302CA">
        <w:rPr>
          <w:rFonts w:eastAsia="Times New Roman" w:cstheme="minorHAnsi"/>
        </w:rPr>
        <w:t xml:space="preserve"> </w:t>
      </w:r>
      <w:r w:rsidR="00C4081D" w:rsidRPr="00C4081D">
        <w:rPr>
          <w:rFonts w:eastAsia="Times New Roman" w:cstheme="minorHAnsi"/>
        </w:rPr>
        <w:t xml:space="preserve">These recent approvals raise the total number of approved </w:t>
      </w:r>
      <w:r w:rsidR="00C4081D" w:rsidRPr="00F302CA">
        <w:rPr>
          <w:rFonts w:eastAsia="Times New Roman" w:cstheme="minorHAnsi"/>
          <w:b/>
          <w:bCs/>
        </w:rPr>
        <w:t>adult use cannabis dispensary licenses</w:t>
      </w:r>
      <w:r w:rsidR="00C4081D" w:rsidRPr="00C4081D">
        <w:rPr>
          <w:rFonts w:eastAsia="Times New Roman" w:cstheme="minorHAnsi"/>
        </w:rPr>
        <w:t xml:space="preserve"> to </w:t>
      </w:r>
      <w:r w:rsidR="00C4081D" w:rsidRPr="00F302CA">
        <w:rPr>
          <w:rFonts w:eastAsia="Times New Roman" w:cstheme="minorHAnsi"/>
          <w:b/>
          <w:bCs/>
        </w:rPr>
        <w:t>48</w:t>
      </w:r>
      <w:r w:rsidR="00C4081D" w:rsidRPr="00C4081D">
        <w:rPr>
          <w:rFonts w:eastAsia="Times New Roman" w:cstheme="minorHAnsi"/>
        </w:rPr>
        <w:t xml:space="preserve">. </w:t>
      </w:r>
    </w:p>
    <w:p w14:paraId="54F79976" w14:textId="4ECAB44B" w:rsidR="00C4081D" w:rsidRPr="00C4081D" w:rsidRDefault="00C4081D" w:rsidP="00C4081D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4081D">
        <w:rPr>
          <w:rFonts w:eastAsia="Times New Roman" w:cstheme="minorHAnsi"/>
        </w:rPr>
        <w:t xml:space="preserve">The medical dispensaries </w:t>
      </w:r>
      <w:r w:rsidR="00893030">
        <w:rPr>
          <w:rFonts w:eastAsia="Times New Roman" w:cstheme="minorHAnsi"/>
        </w:rPr>
        <w:t>that</w:t>
      </w:r>
      <w:r w:rsidRPr="00C4081D">
        <w:rPr>
          <w:rFonts w:eastAsia="Times New Roman" w:cstheme="minorHAnsi"/>
        </w:rPr>
        <w:t xml:space="preserve"> received early approval adult use licenses are:</w:t>
      </w:r>
    </w:p>
    <w:p w14:paraId="1DEB861A" w14:textId="77777777" w:rsidR="00C4081D" w:rsidRDefault="00C4081D" w:rsidP="00C4081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  <w:sectPr w:rsidR="00C408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C729B2" w14:textId="472CD4C6" w:rsidR="00C4081D" w:rsidRPr="00C4081D" w:rsidRDefault="00C4081D" w:rsidP="00C4081D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C4081D">
        <w:rPr>
          <w:rFonts w:eastAsia="Times New Roman" w:cstheme="minorHAnsi"/>
          <w:b/>
          <w:bCs/>
        </w:rPr>
        <w:t>Rise - Quincy</w:t>
      </w:r>
      <w:r w:rsidRPr="00C4081D">
        <w:rPr>
          <w:rFonts w:eastAsia="Times New Roman" w:cstheme="minorHAnsi"/>
        </w:rPr>
        <w:br/>
        <w:t>**Adult Use Only; Secondary Site**</w:t>
      </w:r>
      <w:r w:rsidRPr="00C4081D">
        <w:rPr>
          <w:rFonts w:eastAsia="Times New Roman" w:cstheme="minorHAnsi"/>
        </w:rPr>
        <w:br/>
        <w:t>2703 Broadway St.</w:t>
      </w:r>
      <w:r w:rsidRPr="00C4081D">
        <w:rPr>
          <w:rFonts w:eastAsia="Times New Roman" w:cstheme="minorHAnsi"/>
        </w:rPr>
        <w:br/>
        <w:t>Quincy, IL 62301</w:t>
      </w:r>
    </w:p>
    <w:p w14:paraId="6DDD79EE" w14:textId="1D1EF1BE" w:rsidR="00C4081D" w:rsidRPr="00C4081D" w:rsidRDefault="00C4081D" w:rsidP="00C4081D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C4081D">
        <w:rPr>
          <w:rFonts w:eastAsia="Times New Roman" w:cstheme="minorHAnsi"/>
          <w:b/>
          <w:bCs/>
        </w:rPr>
        <w:t>The Green Solution</w:t>
      </w:r>
      <w:r w:rsidRPr="00C4081D">
        <w:rPr>
          <w:rFonts w:eastAsia="Times New Roman" w:cstheme="minorHAnsi"/>
        </w:rPr>
        <w:br/>
        <w:t>2021 Goose Lake Road</w:t>
      </w:r>
      <w:r w:rsidRPr="00C4081D">
        <w:rPr>
          <w:rFonts w:eastAsia="Times New Roman" w:cstheme="minorHAnsi"/>
        </w:rPr>
        <w:br/>
        <w:t>Sauget, IL 62206</w:t>
      </w:r>
    </w:p>
    <w:p w14:paraId="3FFAE4E8" w14:textId="77777777" w:rsidR="00C4081D" w:rsidRDefault="00C4081D">
      <w:pPr>
        <w:rPr>
          <w:rFonts w:cstheme="minorHAnsi"/>
        </w:rPr>
        <w:sectPr w:rsidR="00C4081D" w:rsidSect="00C4081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F84D68" w14:textId="72D33F9C" w:rsidR="00041FDE" w:rsidRDefault="00041FDE">
      <w:r>
        <w:t xml:space="preserve">The </w:t>
      </w:r>
      <w:r w:rsidRPr="00041FDE">
        <w:rPr>
          <w:b/>
          <w:bCs/>
        </w:rPr>
        <w:t>Illinois Criminal Justice Information Authority</w:t>
      </w:r>
      <w:r>
        <w:t xml:space="preserve"> announced areas across Illinois that are eligible for </w:t>
      </w:r>
      <w:r w:rsidRPr="00041FDE">
        <w:rPr>
          <w:b/>
          <w:bCs/>
        </w:rPr>
        <w:t>Restore, Reinvest, and Renew (R3) Program grant funding</w:t>
      </w:r>
      <w:r>
        <w:t xml:space="preserve">. The R3 program was established as part of the </w:t>
      </w:r>
      <w:r w:rsidRPr="00041FDE">
        <w:rPr>
          <w:b/>
          <w:bCs/>
        </w:rPr>
        <w:t>Cannabis Regulation and Tax Act</w:t>
      </w:r>
      <w:r>
        <w:t xml:space="preserve"> as part of the overall social equity focus work to invest in communities that were disproportionately damaged by the war on drugs. Areas designated as R3 program areas </w:t>
      </w:r>
      <w:r w:rsidR="00CE2588">
        <w:t>are</w:t>
      </w:r>
      <w:r>
        <w:t xml:space="preserve"> </w:t>
      </w:r>
      <w:hyperlink r:id="rId6" w:anchor="r3-map" w:history="1">
        <w:r>
          <w:rPr>
            <w:rStyle w:val="Hyperlink"/>
          </w:rPr>
          <w:t>here</w:t>
        </w:r>
      </w:hyperlink>
      <w:r>
        <w:t>.</w:t>
      </w:r>
    </w:p>
    <w:p w14:paraId="7BDB5241" w14:textId="48A9AA55" w:rsidR="00201159" w:rsidRDefault="00201159">
      <w:r>
        <w:t xml:space="preserve">The </w:t>
      </w:r>
      <w:r w:rsidRPr="00201159">
        <w:rPr>
          <w:b/>
          <w:bCs/>
        </w:rPr>
        <w:t>Illinois Department of Financial and Professional Regulation, Division of Banking</w:t>
      </w:r>
      <w:r>
        <w:t xml:space="preserve"> issued a permit to organize a </w:t>
      </w:r>
      <w:r w:rsidRPr="00201159">
        <w:rPr>
          <w:b/>
          <w:bCs/>
        </w:rPr>
        <w:t xml:space="preserve">state-chartered bank to </w:t>
      </w:r>
      <w:proofErr w:type="spellStart"/>
      <w:r w:rsidRPr="00201159">
        <w:rPr>
          <w:b/>
          <w:bCs/>
        </w:rPr>
        <w:t>FWBank</w:t>
      </w:r>
      <w:proofErr w:type="spellEnd"/>
      <w:r>
        <w:t xml:space="preserve">, which will do business as First Women's Bank. This is the first permit to organize issued by the IDFPR since 2007. </w:t>
      </w:r>
    </w:p>
    <w:p w14:paraId="241C1F71" w14:textId="21776145" w:rsidR="00393DE0" w:rsidRPr="00F8635C" w:rsidRDefault="00F8635C">
      <w:pPr>
        <w:rPr>
          <w:rFonts w:cstheme="minorHAnsi"/>
        </w:rPr>
      </w:pPr>
      <w:r w:rsidRPr="00F302CA">
        <w:rPr>
          <w:rFonts w:cstheme="minorHAnsi"/>
          <w:b/>
          <w:bCs/>
        </w:rPr>
        <w:t>Gov. Pritzker</w:t>
      </w:r>
      <w:r w:rsidRPr="00F8635C">
        <w:rPr>
          <w:rFonts w:cstheme="minorHAnsi"/>
        </w:rPr>
        <w:t xml:space="preserve"> made the following </w:t>
      </w:r>
      <w:r w:rsidR="00963887" w:rsidRPr="00F302CA">
        <w:rPr>
          <w:rFonts w:cstheme="minorHAnsi"/>
          <w:b/>
          <w:bCs/>
        </w:rPr>
        <w:t>appointments</w:t>
      </w:r>
      <w:r w:rsidRPr="00F8635C">
        <w:rPr>
          <w:rFonts w:cstheme="minorHAnsi"/>
        </w:rPr>
        <w:t>:</w:t>
      </w:r>
    </w:p>
    <w:p w14:paraId="4BBE4172" w14:textId="48F95DD3" w:rsidR="00F8635C" w:rsidRPr="00F8635C" w:rsidRDefault="00F8635C" w:rsidP="00F8635C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F302CA">
        <w:rPr>
          <w:rFonts w:eastAsia="Times New Roman" w:cstheme="minorHAnsi"/>
          <w:b/>
          <w:bCs/>
        </w:rPr>
        <w:t>John Herrmann</w:t>
      </w:r>
      <w:r w:rsidRPr="00F8635C">
        <w:rPr>
          <w:rFonts w:eastAsia="Times New Roman" w:cstheme="minorHAnsi"/>
        </w:rPr>
        <w:t xml:space="preserve"> will continue to serve on the </w:t>
      </w:r>
      <w:r w:rsidRPr="00F302CA">
        <w:rPr>
          <w:rFonts w:eastAsia="Times New Roman" w:cstheme="minorHAnsi"/>
          <w:b/>
          <w:bCs/>
        </w:rPr>
        <w:t>Illinois State Board of Health</w:t>
      </w:r>
      <w:r w:rsidR="00F302CA">
        <w:rPr>
          <w:rFonts w:eastAsia="Times New Roman" w:cstheme="minorHAnsi"/>
          <w:b/>
          <w:bCs/>
        </w:rPr>
        <w:t>.</w:t>
      </w:r>
    </w:p>
    <w:p w14:paraId="73B1E1E5" w14:textId="021EF497" w:rsidR="00F8635C" w:rsidRPr="00F8635C" w:rsidRDefault="00F8635C" w:rsidP="00F8635C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F302CA">
        <w:rPr>
          <w:rFonts w:eastAsia="Times New Roman" w:cstheme="minorHAnsi"/>
          <w:b/>
          <w:bCs/>
        </w:rPr>
        <w:t>Charles Knell</w:t>
      </w:r>
      <w:r w:rsidRPr="00F8635C">
        <w:rPr>
          <w:rFonts w:eastAsia="Times New Roman" w:cstheme="minorHAnsi"/>
        </w:rPr>
        <w:t xml:space="preserve"> will serve on the </w:t>
      </w:r>
      <w:r w:rsidRPr="00F302CA">
        <w:rPr>
          <w:rFonts w:eastAsia="Times New Roman" w:cstheme="minorHAnsi"/>
          <w:b/>
          <w:bCs/>
        </w:rPr>
        <w:t>Workers' Compensation Advisory Board</w:t>
      </w:r>
      <w:r w:rsidRPr="00F8635C">
        <w:rPr>
          <w:rFonts w:eastAsia="Times New Roman" w:cstheme="minorHAnsi"/>
        </w:rPr>
        <w:t>.</w:t>
      </w:r>
    </w:p>
    <w:p w14:paraId="7899ECCA" w14:textId="441DFA78" w:rsidR="00F8635C" w:rsidRPr="00F8635C" w:rsidRDefault="00F8635C" w:rsidP="00F8635C">
      <w:pPr>
        <w:pStyle w:val="ListParagraph"/>
        <w:numPr>
          <w:ilvl w:val="0"/>
          <w:numId w:val="1"/>
        </w:numPr>
        <w:rPr>
          <w:rFonts w:cstheme="minorHAnsi"/>
        </w:rPr>
      </w:pPr>
      <w:r w:rsidRPr="00F302CA">
        <w:rPr>
          <w:rFonts w:eastAsia="Times New Roman" w:cstheme="minorHAnsi"/>
          <w:b/>
          <w:bCs/>
        </w:rPr>
        <w:t xml:space="preserve">Tanya </w:t>
      </w:r>
      <w:proofErr w:type="spellStart"/>
      <w:r w:rsidRPr="00F302CA">
        <w:rPr>
          <w:rFonts w:eastAsia="Times New Roman" w:cstheme="minorHAnsi"/>
          <w:b/>
          <w:bCs/>
        </w:rPr>
        <w:t>Triche</w:t>
      </w:r>
      <w:proofErr w:type="spellEnd"/>
      <w:r w:rsidRPr="00F302CA">
        <w:rPr>
          <w:rFonts w:eastAsia="Times New Roman" w:cstheme="minorHAnsi"/>
          <w:b/>
          <w:bCs/>
        </w:rPr>
        <w:t xml:space="preserve"> Dawood</w:t>
      </w:r>
      <w:r w:rsidRPr="00F8635C">
        <w:rPr>
          <w:rFonts w:eastAsia="Times New Roman" w:cstheme="minorHAnsi"/>
        </w:rPr>
        <w:t xml:space="preserve"> will serve on the </w:t>
      </w:r>
      <w:r w:rsidRPr="00F302CA">
        <w:rPr>
          <w:rFonts w:eastAsia="Times New Roman" w:cstheme="minorHAnsi"/>
          <w:b/>
          <w:bCs/>
        </w:rPr>
        <w:t>Workers' Compensation Medical Fee Advisory Board</w:t>
      </w:r>
      <w:r w:rsidRPr="00F8635C">
        <w:rPr>
          <w:rFonts w:eastAsia="Times New Roman" w:cstheme="minorHAnsi"/>
        </w:rPr>
        <w:t>.</w:t>
      </w:r>
    </w:p>
    <w:p w14:paraId="6FC1557A" w14:textId="77777777" w:rsidR="00F8635C" w:rsidRPr="00963887" w:rsidRDefault="00F8635C">
      <w:pPr>
        <w:rPr>
          <w:b/>
          <w:bCs/>
          <w:caps/>
          <w:sz w:val="28"/>
          <w:szCs w:val="28"/>
        </w:rPr>
      </w:pPr>
      <w:r w:rsidRPr="00963887">
        <w:rPr>
          <w:b/>
          <w:bCs/>
          <w:caps/>
          <w:sz w:val="28"/>
          <w:szCs w:val="28"/>
        </w:rPr>
        <w:t>101</w:t>
      </w:r>
      <w:r w:rsidRPr="00963887">
        <w:rPr>
          <w:b/>
          <w:bCs/>
          <w:caps/>
          <w:sz w:val="28"/>
          <w:szCs w:val="28"/>
          <w:vertAlign w:val="superscript"/>
        </w:rPr>
        <w:t>st</w:t>
      </w:r>
      <w:r w:rsidRPr="00963887">
        <w:rPr>
          <w:b/>
          <w:bCs/>
          <w:caps/>
          <w:sz w:val="28"/>
          <w:szCs w:val="28"/>
        </w:rPr>
        <w:t xml:space="preserve"> General Assembly Highlights:</w:t>
      </w:r>
    </w:p>
    <w:p w14:paraId="61E7F72F" w14:textId="5834B432" w:rsidR="00F8635C" w:rsidRDefault="00583441">
      <w:r w:rsidRPr="00F302CA">
        <w:rPr>
          <w:b/>
          <w:bCs/>
        </w:rPr>
        <w:t>Edgar Gonzalez</w:t>
      </w:r>
      <w:r>
        <w:t xml:space="preserve">, Jr., </w:t>
      </w:r>
      <w:r w:rsidR="00F8635C">
        <w:t>a</w:t>
      </w:r>
      <w:r>
        <w:t xml:space="preserve"> community activist, organizer and constituent services staffer for Congressman Jesus “</w:t>
      </w:r>
      <w:proofErr w:type="spellStart"/>
      <w:r>
        <w:t>Chuy</w:t>
      </w:r>
      <w:proofErr w:type="spellEnd"/>
      <w:r>
        <w:t xml:space="preserve">” Garcia, was appointed to </w:t>
      </w:r>
      <w:r w:rsidR="00F8635C" w:rsidRPr="00F302CA">
        <w:rPr>
          <w:b/>
          <w:bCs/>
        </w:rPr>
        <w:t xml:space="preserve">replace State Rep. Celina </w:t>
      </w:r>
      <w:proofErr w:type="spellStart"/>
      <w:r w:rsidR="00F8635C" w:rsidRPr="00F302CA">
        <w:rPr>
          <w:b/>
          <w:bCs/>
        </w:rPr>
        <w:t>Villaneuva</w:t>
      </w:r>
      <w:proofErr w:type="spellEnd"/>
      <w:r w:rsidR="00F8635C">
        <w:t xml:space="preserve"> who was appointed </w:t>
      </w:r>
      <w:r w:rsidR="00BC260D">
        <w:t xml:space="preserve">last week </w:t>
      </w:r>
      <w:r w:rsidR="00F8635C">
        <w:t>to replace Sen. Marty Sandoval</w:t>
      </w:r>
      <w:r>
        <w:t xml:space="preserve">. </w:t>
      </w:r>
    </w:p>
    <w:p w14:paraId="17F20DF8" w14:textId="0C7EB2E9" w:rsidR="00583441" w:rsidRDefault="00963887">
      <w:r w:rsidRPr="00F302CA">
        <w:rPr>
          <w:b/>
          <w:bCs/>
        </w:rPr>
        <w:t>Sen. Castro</w:t>
      </w:r>
      <w:r>
        <w:t xml:space="preserve"> is sponsoring legislation</w:t>
      </w:r>
      <w:r w:rsidR="00BC260D">
        <w:t xml:space="preserve"> </w:t>
      </w:r>
      <w:r>
        <w:t>(</w:t>
      </w:r>
      <w:hyperlink r:id="rId7" w:history="1">
        <w:r w:rsidR="00BC260D">
          <w:rPr>
            <w:rStyle w:val="Hyperlink"/>
          </w:rPr>
          <w:t>SB2456</w:t>
        </w:r>
      </w:hyperlink>
      <w:r>
        <w:t xml:space="preserve">) initiated by </w:t>
      </w:r>
      <w:r w:rsidRPr="00F302CA">
        <w:rPr>
          <w:b/>
          <w:bCs/>
        </w:rPr>
        <w:t>Comptroller Susana Mendoza</w:t>
      </w:r>
      <w:r>
        <w:t xml:space="preserve"> to change Illinois law regarding how </w:t>
      </w:r>
      <w:r w:rsidRPr="00F302CA">
        <w:rPr>
          <w:b/>
          <w:bCs/>
        </w:rPr>
        <w:t>lawmakers’ pay</w:t>
      </w:r>
      <w:r>
        <w:t xml:space="preserve"> is calculated when they resign and/or are appointed to office.  Under current law, </w:t>
      </w:r>
      <w:r w:rsidR="00F302CA">
        <w:t>members of the General Assembly</w:t>
      </w:r>
      <w:r>
        <w:t xml:space="preserve"> are paid for the entire month regardless of when their resignation was effective or what date they were appointed.  Under the proposal, lawmakers </w:t>
      </w:r>
      <w:r>
        <w:lastRenderedPageBreak/>
        <w:t xml:space="preserve">would be </w:t>
      </w:r>
      <w:r w:rsidRPr="00F302CA">
        <w:rPr>
          <w:b/>
          <w:bCs/>
        </w:rPr>
        <w:t>paid on a prorated basis</w:t>
      </w:r>
      <w:r>
        <w:t xml:space="preserve"> meaning they would be paid for actual days in office and not for the entire month.  SB 2456 heads to </w:t>
      </w:r>
      <w:r w:rsidR="00BC260D">
        <w:t xml:space="preserve">the </w:t>
      </w:r>
      <w:r>
        <w:t>Senate Assignments</w:t>
      </w:r>
      <w:r w:rsidR="00BC260D">
        <w:t xml:space="preserve"> Committee</w:t>
      </w:r>
      <w:r>
        <w:t xml:space="preserve">. </w:t>
      </w:r>
    </w:p>
    <w:p w14:paraId="3D421C03" w14:textId="3C918250" w:rsidR="00725E2D" w:rsidRDefault="00BC260D">
      <w:r w:rsidRPr="00BC260D">
        <w:t xml:space="preserve">The </w:t>
      </w:r>
      <w:r w:rsidRPr="00F302CA">
        <w:rPr>
          <w:b/>
          <w:bCs/>
        </w:rPr>
        <w:t>Join</w:t>
      </w:r>
      <w:r w:rsidR="00F302CA" w:rsidRPr="00F302CA">
        <w:rPr>
          <w:b/>
          <w:bCs/>
        </w:rPr>
        <w:t>t</w:t>
      </w:r>
      <w:r w:rsidRPr="00F302CA">
        <w:rPr>
          <w:b/>
          <w:bCs/>
        </w:rPr>
        <w:t xml:space="preserve"> Commission on Ethics and Lobbying Reform</w:t>
      </w:r>
      <w:r w:rsidRPr="00BC260D">
        <w:t xml:space="preserve"> held its second hearing this week.  The hearing focused on </w:t>
      </w:r>
      <w:r w:rsidRPr="00F302CA">
        <w:rPr>
          <w:b/>
          <w:bCs/>
        </w:rPr>
        <w:t>lobbyist registration</w:t>
      </w:r>
      <w:r w:rsidRPr="00BC260D">
        <w:t xml:space="preserve">.  </w:t>
      </w:r>
      <w:r>
        <w:t xml:space="preserve">More information on the Commission and its hearings is </w:t>
      </w:r>
      <w:hyperlink r:id="rId8" w:history="1">
        <w:r>
          <w:rPr>
            <w:rStyle w:val="Hyperlink"/>
          </w:rPr>
          <w:t>here.</w:t>
        </w:r>
      </w:hyperlink>
      <w:r>
        <w:t xml:space="preserve"> </w:t>
      </w:r>
    </w:p>
    <w:p w14:paraId="673BDA7E" w14:textId="1FF8DA23" w:rsidR="00980CEB" w:rsidRPr="00BC260D" w:rsidRDefault="00BC260D" w:rsidP="00980CE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302CA">
        <w:rPr>
          <w:rFonts w:eastAsia="Times New Roman" w:cstheme="minorHAnsi"/>
          <w:b/>
          <w:bCs/>
        </w:rPr>
        <w:t>House Republicans</w:t>
      </w:r>
      <w:r w:rsidRPr="00BC260D">
        <w:rPr>
          <w:rFonts w:eastAsia="Times New Roman" w:cstheme="minorHAnsi"/>
        </w:rPr>
        <w:t xml:space="preserve"> announced their own </w:t>
      </w:r>
      <w:r w:rsidRPr="00F302CA">
        <w:rPr>
          <w:rFonts w:eastAsia="Times New Roman" w:cstheme="minorHAnsi"/>
          <w:b/>
          <w:bCs/>
        </w:rPr>
        <w:t>property tax reform</w:t>
      </w:r>
      <w:r w:rsidRPr="00BC260D">
        <w:rPr>
          <w:rFonts w:eastAsia="Times New Roman" w:cstheme="minorHAnsi"/>
        </w:rPr>
        <w:t xml:space="preserve"> ideas this week.  Republicans in both chambers are dissatisfied with the draft ideas and report prepared by the Property Tax Relief Task Force.  House Republican ideas include:</w:t>
      </w:r>
    </w:p>
    <w:p w14:paraId="7E3A024A" w14:textId="77777777" w:rsidR="00980CEB" w:rsidRPr="00BC260D" w:rsidRDefault="00980CEB" w:rsidP="00980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BC260D">
        <w:rPr>
          <w:rFonts w:eastAsia="Times New Roman" w:cstheme="minorHAnsi"/>
        </w:rPr>
        <w:t xml:space="preserve">Providing </w:t>
      </w:r>
      <w:r w:rsidRPr="00F302CA">
        <w:rPr>
          <w:rFonts w:eastAsia="Times New Roman" w:cstheme="minorHAnsi"/>
          <w:b/>
          <w:bCs/>
        </w:rPr>
        <w:t>mandate relief</w:t>
      </w:r>
      <w:r w:rsidRPr="00BC260D">
        <w:rPr>
          <w:rFonts w:eastAsia="Times New Roman" w:cstheme="minorHAnsi"/>
        </w:rPr>
        <w:t xml:space="preserve"> to </w:t>
      </w:r>
      <w:r w:rsidRPr="00F302CA">
        <w:rPr>
          <w:rFonts w:eastAsia="Times New Roman" w:cstheme="minorHAnsi"/>
          <w:b/>
          <w:bCs/>
        </w:rPr>
        <w:t>school districts</w:t>
      </w:r>
      <w:r w:rsidRPr="00BC260D">
        <w:rPr>
          <w:rFonts w:eastAsia="Times New Roman" w:cstheme="minorHAnsi"/>
        </w:rPr>
        <w:t xml:space="preserve"> to help them make their own spending choices and control their costs; </w:t>
      </w:r>
    </w:p>
    <w:p w14:paraId="1276CE04" w14:textId="77777777" w:rsidR="00980CEB" w:rsidRPr="00BC260D" w:rsidRDefault="00980CEB" w:rsidP="00980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302CA">
        <w:rPr>
          <w:rFonts w:eastAsia="Times New Roman" w:cstheme="minorHAnsi"/>
          <w:b/>
          <w:bCs/>
        </w:rPr>
        <w:t>Expanding property tax relief for seniors</w:t>
      </w:r>
      <w:r w:rsidRPr="00BC260D">
        <w:rPr>
          <w:rFonts w:eastAsia="Times New Roman" w:cstheme="minorHAnsi"/>
        </w:rPr>
        <w:t xml:space="preserve">; and </w:t>
      </w:r>
    </w:p>
    <w:p w14:paraId="72CA301D" w14:textId="77777777" w:rsidR="00980CEB" w:rsidRPr="00BC260D" w:rsidRDefault="00980CEB" w:rsidP="00980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BC260D">
        <w:rPr>
          <w:rFonts w:eastAsia="Times New Roman" w:cstheme="minorHAnsi"/>
        </w:rPr>
        <w:t xml:space="preserve">Allowing greater </w:t>
      </w:r>
      <w:r w:rsidRPr="00F302CA">
        <w:rPr>
          <w:rFonts w:eastAsia="Times New Roman" w:cstheme="minorHAnsi"/>
          <w:b/>
          <w:bCs/>
        </w:rPr>
        <w:t>consolidation</w:t>
      </w:r>
      <w:r w:rsidRPr="00BC260D">
        <w:rPr>
          <w:rFonts w:eastAsia="Times New Roman" w:cstheme="minorHAnsi"/>
        </w:rPr>
        <w:t xml:space="preserve"> of </w:t>
      </w:r>
      <w:r w:rsidRPr="00F302CA">
        <w:rPr>
          <w:rFonts w:eastAsia="Times New Roman" w:cstheme="minorHAnsi"/>
          <w:b/>
          <w:bCs/>
        </w:rPr>
        <w:t>units of local government</w:t>
      </w:r>
      <w:r w:rsidRPr="00BC260D">
        <w:rPr>
          <w:rFonts w:eastAsia="Times New Roman" w:cstheme="minorHAnsi"/>
        </w:rPr>
        <w:t xml:space="preserve"> so resources can be shared.</w:t>
      </w:r>
    </w:p>
    <w:p w14:paraId="283E7E5B" w14:textId="07B49098" w:rsidR="009C7043" w:rsidRPr="00963887" w:rsidRDefault="005C6DC6" w:rsidP="009C7043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Over the weekend</w:t>
      </w:r>
      <w:r w:rsidR="009C7043" w:rsidRPr="00963887">
        <w:rPr>
          <w:b/>
          <w:bCs/>
          <w:caps/>
          <w:sz w:val="28"/>
          <w:szCs w:val="28"/>
        </w:rPr>
        <w:t>:</w:t>
      </w:r>
    </w:p>
    <w:p w14:paraId="0F902075" w14:textId="077D8014" w:rsidR="0027518B" w:rsidRDefault="009C7043" w:rsidP="009C7043">
      <w:pPr>
        <w:rPr>
          <w:rFonts w:eastAsia="Calibri" w:cstheme="minorHAnsi"/>
          <w:bCs/>
        </w:rPr>
      </w:pPr>
      <w:r w:rsidRPr="00EE3938">
        <w:rPr>
          <w:rFonts w:eastAsia="Calibri" w:cstheme="minorHAnsi"/>
        </w:rPr>
        <w:t xml:space="preserve">The </w:t>
      </w:r>
      <w:r w:rsidRPr="00EE3938">
        <w:rPr>
          <w:rFonts w:eastAsia="Calibri" w:cstheme="minorHAnsi"/>
          <w:b/>
          <w:bCs/>
        </w:rPr>
        <w:t>Illinois Senate</w:t>
      </w:r>
      <w:r w:rsidRPr="00EE3938">
        <w:rPr>
          <w:rFonts w:eastAsia="Calibri" w:cstheme="minorHAnsi"/>
        </w:rPr>
        <w:t xml:space="preserve"> </w:t>
      </w:r>
      <w:r w:rsidR="0027518B">
        <w:rPr>
          <w:rFonts w:eastAsia="Calibri" w:cstheme="minorHAnsi"/>
        </w:rPr>
        <w:t>convene</w:t>
      </w:r>
      <w:r w:rsidR="005C6DC6">
        <w:rPr>
          <w:rFonts w:eastAsia="Calibri" w:cstheme="minorHAnsi"/>
        </w:rPr>
        <w:t>d</w:t>
      </w:r>
      <w:r w:rsidRPr="00EE3938">
        <w:rPr>
          <w:rFonts w:eastAsia="Calibri" w:cstheme="minorHAnsi"/>
        </w:rPr>
        <w:t xml:space="preserve"> on </w:t>
      </w:r>
      <w:r w:rsidRPr="00EE3938">
        <w:rPr>
          <w:rFonts w:eastAsia="Calibri" w:cstheme="minorHAnsi"/>
          <w:b/>
          <w:bCs/>
        </w:rPr>
        <w:t xml:space="preserve">Sunday, </w:t>
      </w:r>
      <w:r w:rsidR="008E5BA3">
        <w:rPr>
          <w:rFonts w:eastAsia="Calibri" w:cstheme="minorHAnsi"/>
          <w:b/>
          <w:bCs/>
        </w:rPr>
        <w:t>Jan.</w:t>
      </w:r>
      <w:r w:rsidRPr="00EE3938">
        <w:rPr>
          <w:rFonts w:eastAsia="Calibri" w:cstheme="minorHAnsi"/>
          <w:b/>
          <w:bCs/>
        </w:rPr>
        <w:t xml:space="preserve"> 19</w:t>
      </w:r>
      <w:r w:rsidRPr="00EE3938">
        <w:rPr>
          <w:rFonts w:eastAsia="Calibri" w:cstheme="minorHAnsi"/>
          <w:b/>
          <w:bCs/>
          <w:vertAlign w:val="superscript"/>
        </w:rPr>
        <w:t>th</w:t>
      </w:r>
      <w:r w:rsidRPr="00EE3938">
        <w:rPr>
          <w:rFonts w:eastAsia="Calibri" w:cstheme="minorHAnsi"/>
        </w:rPr>
        <w:t xml:space="preserve"> to formally elect a new Senate President.  </w:t>
      </w:r>
      <w:r w:rsidR="005C6DC6">
        <w:rPr>
          <w:rFonts w:eastAsia="Calibri" w:cstheme="minorHAnsi"/>
          <w:bCs/>
        </w:rPr>
        <w:t xml:space="preserve">The Senate elected Don Harmon (D-39) to be the next Senate President replacing retiring President John Cullerton. President Harmon was elected on a vote of 37-12. Expect a few shake ups in the coming days </w:t>
      </w:r>
      <w:r w:rsidR="00350FAC">
        <w:rPr>
          <w:rFonts w:eastAsia="Calibri" w:cstheme="minorHAnsi"/>
          <w:bCs/>
        </w:rPr>
        <w:t>in regard to</w:t>
      </w:r>
      <w:r w:rsidR="005C6DC6">
        <w:rPr>
          <w:rFonts w:eastAsia="Calibri" w:cstheme="minorHAnsi"/>
          <w:bCs/>
        </w:rPr>
        <w:t xml:space="preserve"> committee chairmanships and leadership appointments following the election. </w:t>
      </w:r>
    </w:p>
    <w:p w14:paraId="58CDD22C" w14:textId="6489A51C" w:rsidR="009C7043" w:rsidRDefault="009C7043" w:rsidP="009C7043">
      <w:pPr>
        <w:rPr>
          <w:rFonts w:eastAsia="Calibri" w:cstheme="minorHAnsi"/>
          <w:b/>
          <w:bCs/>
        </w:rPr>
      </w:pPr>
      <w:r w:rsidRPr="00EE3938">
        <w:rPr>
          <w:rFonts w:eastAsia="Calibri" w:cstheme="minorHAnsi"/>
        </w:rPr>
        <w:t>The 101</w:t>
      </w:r>
      <w:r w:rsidRPr="00EE3938">
        <w:rPr>
          <w:rFonts w:eastAsia="Calibri" w:cstheme="minorHAnsi"/>
          <w:vertAlign w:val="superscript"/>
        </w:rPr>
        <w:t>st</w:t>
      </w:r>
      <w:r w:rsidRPr="00EE3938">
        <w:rPr>
          <w:rFonts w:eastAsia="Calibri" w:cstheme="minorHAnsi"/>
        </w:rPr>
        <w:t xml:space="preserve"> General Assembly will reconvene for the </w:t>
      </w:r>
      <w:r w:rsidRPr="00EE3938">
        <w:rPr>
          <w:rFonts w:eastAsia="Calibri" w:cstheme="minorHAnsi"/>
          <w:b/>
          <w:bCs/>
        </w:rPr>
        <w:t>2020 Spring Legislative Session</w:t>
      </w:r>
      <w:r w:rsidRPr="00EE3938">
        <w:rPr>
          <w:rFonts w:eastAsia="Calibri" w:cstheme="minorHAnsi"/>
        </w:rPr>
        <w:t xml:space="preserve"> on </w:t>
      </w:r>
      <w:r>
        <w:rPr>
          <w:rFonts w:eastAsia="Calibri" w:cstheme="minorHAnsi"/>
        </w:rPr>
        <w:t xml:space="preserve">Tuesday, </w:t>
      </w:r>
      <w:r w:rsidR="008E5BA3">
        <w:rPr>
          <w:rFonts w:eastAsia="Calibri" w:cstheme="minorHAnsi"/>
          <w:b/>
          <w:bCs/>
        </w:rPr>
        <w:t>Jan.</w:t>
      </w:r>
      <w:r w:rsidRPr="00EE3938">
        <w:rPr>
          <w:rFonts w:eastAsia="Calibri" w:cstheme="minorHAnsi"/>
          <w:b/>
          <w:bCs/>
        </w:rPr>
        <w:t xml:space="preserve"> 28</w:t>
      </w:r>
      <w:r w:rsidRPr="00EE3938">
        <w:rPr>
          <w:rFonts w:eastAsia="Calibri" w:cstheme="minorHAnsi"/>
          <w:b/>
          <w:bCs/>
          <w:vertAlign w:val="superscript"/>
        </w:rPr>
        <w:t>th</w:t>
      </w:r>
      <w:r w:rsidRPr="00EE3938">
        <w:rPr>
          <w:rFonts w:eastAsia="Calibri" w:cstheme="minorHAnsi"/>
          <w:b/>
          <w:bCs/>
        </w:rPr>
        <w:t>, 2020.</w:t>
      </w:r>
    </w:p>
    <w:p w14:paraId="709BF8D8" w14:textId="50454D73" w:rsidR="009C7043" w:rsidRPr="008E5BA3" w:rsidRDefault="008E5BA3" w:rsidP="009C7043">
      <w:pPr>
        <w:rPr>
          <w:rFonts w:eastAsia="Calibri" w:cstheme="minorHAnsi"/>
        </w:rPr>
      </w:pPr>
      <w:r>
        <w:rPr>
          <w:rFonts w:eastAsia="Calibri" w:cstheme="minorHAnsi"/>
          <w:b/>
          <w:bCs/>
        </w:rPr>
        <w:t>Friday, Jan. 24</w:t>
      </w:r>
      <w:r w:rsidRPr="008E5BA3">
        <w:rPr>
          <w:rFonts w:eastAsia="Calibri" w:cstheme="minorHAnsi"/>
          <w:b/>
          <w:bCs/>
          <w:vertAlign w:val="superscript"/>
        </w:rPr>
        <w:t>th</w:t>
      </w:r>
      <w:r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</w:rPr>
        <w:t xml:space="preserve">is the </w:t>
      </w:r>
      <w:r w:rsidRPr="008E5BA3">
        <w:rPr>
          <w:rFonts w:eastAsia="Calibri" w:cstheme="minorHAnsi"/>
          <w:b/>
          <w:bCs/>
        </w:rPr>
        <w:t>House deadline</w:t>
      </w:r>
      <w:r>
        <w:rPr>
          <w:rFonts w:eastAsia="Calibri" w:cstheme="minorHAnsi"/>
        </w:rPr>
        <w:t xml:space="preserve"> to submit legislation to the Legislative Reference Bureau for drafting of house bills for the spring session.  </w:t>
      </w:r>
    </w:p>
    <w:p w14:paraId="6B04CB1C" w14:textId="77777777" w:rsidR="009C7043" w:rsidRPr="00EE3938" w:rsidRDefault="009C7043" w:rsidP="009C7043">
      <w:pPr>
        <w:pStyle w:val="NoSpacing"/>
        <w:rPr>
          <w:rFonts w:cstheme="minorHAnsi"/>
          <w:b/>
          <w:bCs/>
          <w:u w:val="single"/>
        </w:rPr>
      </w:pPr>
      <w:bookmarkStart w:id="1" w:name="_Hlk29226140"/>
      <w:r w:rsidRPr="00EE3938">
        <w:rPr>
          <w:rFonts w:cstheme="minorHAnsi"/>
          <w:b/>
          <w:bCs/>
          <w:u w:val="single"/>
        </w:rPr>
        <w:t>Key 2020 Session Dates:</w:t>
      </w:r>
    </w:p>
    <w:p w14:paraId="31F0D294" w14:textId="77777777" w:rsidR="009C7043" w:rsidRPr="00EE3938" w:rsidRDefault="009C7043" w:rsidP="009C7043">
      <w:pPr>
        <w:pStyle w:val="NoSpacing"/>
        <w:rPr>
          <w:rFonts w:cstheme="minorHAnsi"/>
        </w:rPr>
      </w:pPr>
      <w:bookmarkStart w:id="2" w:name="_Hlk26457505"/>
      <w:r w:rsidRPr="00EE3938">
        <w:rPr>
          <w:rFonts w:cstheme="minorHAnsi"/>
        </w:rPr>
        <w:t>January 19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 xml:space="preserve">:  Senate </w:t>
      </w:r>
      <w:r>
        <w:rPr>
          <w:rFonts w:cstheme="minorHAnsi"/>
        </w:rPr>
        <w:t>c</w:t>
      </w:r>
      <w:r w:rsidRPr="00EE3938">
        <w:rPr>
          <w:rFonts w:cstheme="minorHAnsi"/>
        </w:rPr>
        <w:t>onvenes to elect new Senate President</w:t>
      </w:r>
    </w:p>
    <w:bookmarkEnd w:id="2"/>
    <w:p w14:paraId="59C9F02F" w14:textId="4AC5489D" w:rsidR="009C7043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24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 xml:space="preserve">:  LRB (bill drafting) </w:t>
      </w:r>
      <w:r>
        <w:rPr>
          <w:rFonts w:cstheme="minorHAnsi"/>
        </w:rPr>
        <w:t>d</w:t>
      </w:r>
      <w:r w:rsidRPr="00EE3938">
        <w:rPr>
          <w:rFonts w:cstheme="minorHAnsi"/>
        </w:rPr>
        <w:t>eadline, House</w:t>
      </w:r>
    </w:p>
    <w:p w14:paraId="0D7F8E33" w14:textId="2BABC2FD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28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2020 Spring Session convenes</w:t>
      </w:r>
    </w:p>
    <w:p w14:paraId="33102F4A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29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Governor’s State of the State Address</w:t>
      </w:r>
    </w:p>
    <w:p w14:paraId="0EF2F929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31</w:t>
      </w:r>
      <w:r w:rsidRPr="00EE3938">
        <w:rPr>
          <w:rFonts w:cstheme="minorHAnsi"/>
          <w:vertAlign w:val="superscript"/>
        </w:rPr>
        <w:t>st</w:t>
      </w:r>
      <w:r w:rsidRPr="00EE3938">
        <w:rPr>
          <w:rFonts w:cstheme="minorHAnsi"/>
        </w:rPr>
        <w:t xml:space="preserve">:  LRB (bill drafting) </w:t>
      </w:r>
      <w:r>
        <w:rPr>
          <w:rFonts w:cstheme="minorHAnsi"/>
        </w:rPr>
        <w:t>d</w:t>
      </w:r>
      <w:r w:rsidRPr="00EE3938">
        <w:rPr>
          <w:rFonts w:cstheme="minorHAnsi"/>
        </w:rPr>
        <w:t>eadline, Senate</w:t>
      </w:r>
    </w:p>
    <w:p w14:paraId="1A4D541E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February 14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Bill filing deadline both chambers</w:t>
      </w:r>
    </w:p>
    <w:p w14:paraId="23A0BB8C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February 19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Governor’s Budget Address</w:t>
      </w:r>
    </w:p>
    <w:p w14:paraId="6847A99F" w14:textId="7DD77823" w:rsidR="009C7043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March 17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Primary Election</w:t>
      </w:r>
    </w:p>
    <w:p w14:paraId="4E28CDB3" w14:textId="7FB9FC64" w:rsidR="00AB78B5" w:rsidRPr="00030876" w:rsidRDefault="00AB78B5" w:rsidP="009C7043">
      <w:pPr>
        <w:pStyle w:val="NoSpacing"/>
        <w:rPr>
          <w:rFonts w:cstheme="minorHAnsi"/>
          <w:b/>
        </w:rPr>
      </w:pPr>
      <w:r w:rsidRPr="00030876">
        <w:rPr>
          <w:rFonts w:cstheme="minorHAnsi"/>
          <w:b/>
          <w:highlight w:val="yellow"/>
        </w:rPr>
        <w:t>March 18</w:t>
      </w:r>
      <w:r w:rsidRPr="00030876">
        <w:rPr>
          <w:rFonts w:cstheme="minorHAnsi"/>
          <w:b/>
          <w:highlight w:val="yellow"/>
          <w:vertAlign w:val="superscript"/>
        </w:rPr>
        <w:t>th</w:t>
      </w:r>
      <w:r w:rsidR="00030876" w:rsidRPr="00030876">
        <w:rPr>
          <w:rFonts w:cstheme="minorHAnsi"/>
          <w:b/>
          <w:highlight w:val="yellow"/>
        </w:rPr>
        <w:t>: State Legislative Day</w:t>
      </w:r>
    </w:p>
    <w:p w14:paraId="204328B5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March 27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Committee deadline for substantive bills</w:t>
      </w:r>
    </w:p>
    <w:p w14:paraId="4B7D6977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April 6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 xml:space="preserve"> – 17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Spring Break</w:t>
      </w:r>
    </w:p>
    <w:p w14:paraId="2543DF89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April 24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3</w:t>
      </w:r>
      <w:r w:rsidRPr="00EE3938">
        <w:rPr>
          <w:rFonts w:cstheme="minorHAnsi"/>
          <w:vertAlign w:val="superscript"/>
        </w:rPr>
        <w:t>rd</w:t>
      </w:r>
      <w:r w:rsidRPr="00EE3938">
        <w:rPr>
          <w:rFonts w:cstheme="minorHAnsi"/>
        </w:rPr>
        <w:t xml:space="preserve"> Reading deadline for substantive bills</w:t>
      </w:r>
    </w:p>
    <w:p w14:paraId="37E3546D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May 15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Committee deadline for substantive bills in second chamber</w:t>
      </w:r>
    </w:p>
    <w:p w14:paraId="272AA248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May 22</w:t>
      </w:r>
      <w:r w:rsidRPr="00EE3938">
        <w:rPr>
          <w:rFonts w:cstheme="minorHAnsi"/>
          <w:vertAlign w:val="superscript"/>
        </w:rPr>
        <w:t>nd</w:t>
      </w:r>
      <w:r w:rsidRPr="00EE3938">
        <w:rPr>
          <w:rFonts w:cstheme="minorHAnsi"/>
        </w:rPr>
        <w:t>:  3</w:t>
      </w:r>
      <w:r w:rsidRPr="00EE3938">
        <w:rPr>
          <w:rFonts w:cstheme="minorHAnsi"/>
          <w:vertAlign w:val="superscript"/>
        </w:rPr>
        <w:t>rd</w:t>
      </w:r>
      <w:r w:rsidRPr="00EE3938">
        <w:rPr>
          <w:rFonts w:cstheme="minorHAnsi"/>
        </w:rPr>
        <w:t xml:space="preserve"> Reading deadline for substantive bills in second chamber </w:t>
      </w:r>
    </w:p>
    <w:p w14:paraId="29A05EFA" w14:textId="77777777" w:rsidR="009C7043" w:rsidRPr="00EE3938" w:rsidRDefault="009C7043" w:rsidP="009C7043">
      <w:pPr>
        <w:pStyle w:val="NoSpacing"/>
        <w:rPr>
          <w:rFonts w:cstheme="minorHAnsi"/>
        </w:rPr>
      </w:pPr>
      <w:r w:rsidRPr="00EE3938">
        <w:rPr>
          <w:rFonts w:cstheme="minorHAnsi"/>
        </w:rPr>
        <w:t>May 31</w:t>
      </w:r>
      <w:r w:rsidRPr="00EE3938">
        <w:rPr>
          <w:rFonts w:cstheme="minorHAnsi"/>
          <w:vertAlign w:val="superscript"/>
        </w:rPr>
        <w:t>st</w:t>
      </w:r>
      <w:r w:rsidRPr="00EE3938">
        <w:rPr>
          <w:rFonts w:cstheme="minorHAnsi"/>
        </w:rPr>
        <w:t>:  Adjournment</w:t>
      </w:r>
    </w:p>
    <w:bookmarkEnd w:id="1"/>
    <w:p w14:paraId="1ABB2249" w14:textId="181F0E42" w:rsidR="00583441" w:rsidRDefault="00583441"/>
    <w:sectPr w:rsidR="00583441" w:rsidSect="00C408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A26"/>
    <w:multiLevelType w:val="multilevel"/>
    <w:tmpl w:val="4C1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D7A2C"/>
    <w:multiLevelType w:val="hybridMultilevel"/>
    <w:tmpl w:val="8DF6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1"/>
    <w:rsid w:val="00030876"/>
    <w:rsid w:val="00041FDE"/>
    <w:rsid w:val="00090960"/>
    <w:rsid w:val="00095CFA"/>
    <w:rsid w:val="001D3CF1"/>
    <w:rsid w:val="001F05EF"/>
    <w:rsid w:val="00201159"/>
    <w:rsid w:val="0027518B"/>
    <w:rsid w:val="00350FAC"/>
    <w:rsid w:val="00393DE0"/>
    <w:rsid w:val="0056725B"/>
    <w:rsid w:val="00583441"/>
    <w:rsid w:val="005C6DC6"/>
    <w:rsid w:val="006F297D"/>
    <w:rsid w:val="00725E2D"/>
    <w:rsid w:val="007B1A5C"/>
    <w:rsid w:val="00807B63"/>
    <w:rsid w:val="00893030"/>
    <w:rsid w:val="008E5BA3"/>
    <w:rsid w:val="00963887"/>
    <w:rsid w:val="00980CEB"/>
    <w:rsid w:val="009C7043"/>
    <w:rsid w:val="00AB78B5"/>
    <w:rsid w:val="00BC260D"/>
    <w:rsid w:val="00C4081D"/>
    <w:rsid w:val="00CC4364"/>
    <w:rsid w:val="00CE2588"/>
    <w:rsid w:val="00E97822"/>
    <w:rsid w:val="00F302CA"/>
    <w:rsid w:val="00F8635C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2BEE"/>
  <w15:chartTrackingRefBased/>
  <w15:docId w15:val="{018C256A-49DA-4E68-9C4C-30142711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0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09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90960"/>
    <w:rPr>
      <w:b/>
      <w:bCs/>
    </w:rPr>
  </w:style>
  <w:style w:type="paragraph" w:styleId="ListParagraph">
    <w:name w:val="List Paragraph"/>
    <w:basedOn w:val="Normal"/>
    <w:uiPriority w:val="34"/>
    <w:qFormat/>
    <w:rsid w:val="00F8635C"/>
    <w:pPr>
      <w:ind w:left="720"/>
      <w:contextualSpacing/>
    </w:pPr>
  </w:style>
  <w:style w:type="paragraph" w:styleId="NoSpacing">
    <w:name w:val="No Spacing"/>
    <w:uiPriority w:val="1"/>
    <w:qFormat/>
    <w:rsid w:val="009C70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97D"/>
    <w:rPr>
      <w:color w:val="0000FF"/>
      <w:u w:val="single"/>
    </w:rPr>
  </w:style>
  <w:style w:type="character" w:customStyle="1" w:styleId="prettylink-prefix">
    <w:name w:val="prettylink-prefix"/>
    <w:basedOn w:val="DefaultParagraphFont"/>
    <w:rsid w:val="00FD45B6"/>
  </w:style>
  <w:style w:type="character" w:customStyle="1" w:styleId="prettylink-value">
    <w:name w:val="prettylink-value"/>
    <w:basedOn w:val="DefaultParagraphFont"/>
    <w:rsid w:val="00FD45B6"/>
  </w:style>
  <w:style w:type="character" w:styleId="UnresolvedMention">
    <w:name w:val="Unresolved Mention"/>
    <w:basedOn w:val="DefaultParagraphFont"/>
    <w:uiPriority w:val="99"/>
    <w:semiHidden/>
    <w:unhideWhenUsed/>
    <w:rsid w:val="00BC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ga.gov/joint/Commissionmembers.asp?CommitteeID=Joint%20Commission%20on%20Ethics%20and%20Lobbying%20Reform&amp;GA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lga.gov/legislation/billstatus.asp?DocNum=2456&amp;GAID=15&amp;GA=101&amp;DocTypeID=SB&amp;LegID=122929&amp;SessionID=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jia.illinois.gov/r3/" TargetMode="External"/><Relationship Id="rId5" Type="http://schemas.openxmlformats.org/officeDocument/2006/relationships/hyperlink" Target="http://www.ilga.gov/legislation/BillStatus.asp?DocNum=961&amp;GAID=15&amp;DocTypeID=HB&amp;LegID=115331&amp;SessionID=1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Lounsberry</dc:creator>
  <cp:keywords/>
  <dc:description/>
  <cp:lastModifiedBy>Jackie RAKERS</cp:lastModifiedBy>
  <cp:revision>2</cp:revision>
  <dcterms:created xsi:type="dcterms:W3CDTF">2020-01-31T00:55:00Z</dcterms:created>
  <dcterms:modified xsi:type="dcterms:W3CDTF">2020-01-31T00:55:00Z</dcterms:modified>
</cp:coreProperties>
</file>