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38B3F" w14:textId="0B182F47" w:rsidR="00FF2A4E" w:rsidRPr="006C5178" w:rsidRDefault="00FF2A4E" w:rsidP="005A0FCA">
      <w:pPr>
        <w:pStyle w:val="NormalWeb"/>
        <w:rPr>
          <w:rFonts w:asciiTheme="minorHAnsi" w:hAnsiTheme="minorHAnsi" w:cstheme="minorHAnsi"/>
          <w:b/>
          <w:bCs/>
          <w:caps/>
          <w:sz w:val="28"/>
          <w:szCs w:val="28"/>
        </w:rPr>
      </w:pPr>
      <w:r w:rsidRPr="006C5178">
        <w:rPr>
          <w:rFonts w:asciiTheme="minorHAnsi" w:hAnsiTheme="minorHAnsi" w:cstheme="minorHAnsi"/>
          <w:b/>
          <w:bCs/>
          <w:caps/>
          <w:sz w:val="28"/>
          <w:szCs w:val="28"/>
        </w:rPr>
        <w:t>Governor’s Highlights:</w:t>
      </w:r>
    </w:p>
    <w:p w14:paraId="1E03704A" w14:textId="26B10B22" w:rsidR="00D23CD5" w:rsidRPr="00344BE7" w:rsidRDefault="005F6355" w:rsidP="005A0FCA">
      <w:pPr>
        <w:pStyle w:val="NormalWeb"/>
        <w:rPr>
          <w:rFonts w:asciiTheme="minorHAnsi" w:hAnsiTheme="minorHAnsi" w:cstheme="minorHAnsi"/>
          <w:sz w:val="22"/>
          <w:szCs w:val="22"/>
        </w:rPr>
      </w:pPr>
      <w:r w:rsidRPr="00344BE7">
        <w:rPr>
          <w:rFonts w:asciiTheme="minorHAnsi" w:hAnsiTheme="minorHAnsi" w:cstheme="minorHAnsi"/>
          <w:sz w:val="22"/>
          <w:szCs w:val="22"/>
        </w:rPr>
        <w:t>Democrat Gov. J. B.</w:t>
      </w:r>
      <w:r w:rsidR="00FF2A4E" w:rsidRPr="00344BE7">
        <w:rPr>
          <w:rFonts w:asciiTheme="minorHAnsi" w:hAnsiTheme="minorHAnsi" w:cstheme="minorHAnsi"/>
          <w:sz w:val="22"/>
          <w:szCs w:val="22"/>
        </w:rPr>
        <w:t xml:space="preserve"> Pritzker delivered his second budget address to a joint session of the General Assembly on </w:t>
      </w:r>
      <w:r w:rsidR="00761084" w:rsidRPr="00344BE7">
        <w:rPr>
          <w:rFonts w:asciiTheme="minorHAnsi" w:hAnsiTheme="minorHAnsi" w:cstheme="minorHAnsi"/>
          <w:sz w:val="22"/>
          <w:szCs w:val="22"/>
        </w:rPr>
        <w:t>Wednesday</w:t>
      </w:r>
      <w:r w:rsidR="00FF2A4E" w:rsidRPr="00344BE7">
        <w:rPr>
          <w:rFonts w:asciiTheme="minorHAnsi" w:hAnsiTheme="minorHAnsi" w:cstheme="minorHAnsi"/>
          <w:sz w:val="22"/>
          <w:szCs w:val="22"/>
        </w:rPr>
        <w:t xml:space="preserve">.  </w:t>
      </w:r>
      <w:r w:rsidR="00687248" w:rsidRPr="00344BE7">
        <w:rPr>
          <w:rFonts w:asciiTheme="minorHAnsi" w:hAnsiTheme="minorHAnsi" w:cstheme="minorHAnsi"/>
          <w:sz w:val="22"/>
          <w:szCs w:val="22"/>
        </w:rPr>
        <w:t>Pritzker</w:t>
      </w:r>
      <w:r w:rsidR="00FF2A4E" w:rsidRPr="00344BE7">
        <w:rPr>
          <w:rFonts w:asciiTheme="minorHAnsi" w:hAnsiTheme="minorHAnsi" w:cstheme="minorHAnsi"/>
          <w:sz w:val="22"/>
          <w:szCs w:val="22"/>
        </w:rPr>
        <w:t xml:space="preserve"> proposes spending $</w:t>
      </w:r>
      <w:r w:rsidR="007E4863" w:rsidRPr="00344BE7">
        <w:rPr>
          <w:rFonts w:asciiTheme="minorHAnsi" w:hAnsiTheme="minorHAnsi" w:cstheme="minorHAnsi"/>
          <w:sz w:val="22"/>
          <w:szCs w:val="22"/>
        </w:rPr>
        <w:t>42</w:t>
      </w:r>
      <w:r w:rsidR="00FF2A4E" w:rsidRPr="00344BE7">
        <w:rPr>
          <w:rFonts w:asciiTheme="minorHAnsi" w:hAnsiTheme="minorHAnsi" w:cstheme="minorHAnsi"/>
          <w:sz w:val="22"/>
          <w:szCs w:val="22"/>
        </w:rPr>
        <w:t xml:space="preserve"> billion </w:t>
      </w:r>
      <w:r w:rsidR="007E4863" w:rsidRPr="00344BE7">
        <w:rPr>
          <w:rFonts w:asciiTheme="minorHAnsi" w:hAnsiTheme="minorHAnsi" w:cstheme="minorHAnsi"/>
          <w:sz w:val="22"/>
          <w:szCs w:val="22"/>
        </w:rPr>
        <w:t xml:space="preserve">in general revenue funds </w:t>
      </w:r>
      <w:r w:rsidR="00FF2A4E" w:rsidRPr="00344BE7">
        <w:rPr>
          <w:rFonts w:asciiTheme="minorHAnsi" w:hAnsiTheme="minorHAnsi" w:cstheme="minorHAnsi"/>
          <w:sz w:val="22"/>
          <w:szCs w:val="22"/>
        </w:rPr>
        <w:t>for Fiscal Year 2021.</w:t>
      </w:r>
      <w:r w:rsidR="00EF40E2" w:rsidRPr="00344BE7">
        <w:rPr>
          <w:rFonts w:asciiTheme="minorHAnsi" w:hAnsiTheme="minorHAnsi" w:cstheme="minorHAnsi"/>
          <w:sz w:val="22"/>
          <w:szCs w:val="22"/>
        </w:rPr>
        <w:t xml:space="preserve"> </w:t>
      </w:r>
    </w:p>
    <w:p w14:paraId="39DA5B49" w14:textId="2F368928" w:rsidR="00FF2A4E" w:rsidRPr="00344BE7" w:rsidRDefault="00D23CD5" w:rsidP="00D23CD5">
      <w:r w:rsidRPr="00344BE7">
        <w:t xml:space="preserve">Pritzker </w:t>
      </w:r>
      <w:r w:rsidR="00141D1D" w:rsidRPr="00344BE7">
        <w:t>used the speech to celebrate</w:t>
      </w:r>
      <w:r w:rsidRPr="00344BE7">
        <w:t xml:space="preserve"> his first-year successes including enhancing Illinois’ budget stability, passing recreational cannabis</w:t>
      </w:r>
      <w:r w:rsidR="00761084" w:rsidRPr="00344BE7">
        <w:t>;</w:t>
      </w:r>
      <w:r w:rsidRPr="00344BE7">
        <w:t xml:space="preserve"> expanding gaming, enacting a new Capital Program</w:t>
      </w:r>
      <w:r w:rsidR="00761084" w:rsidRPr="00344BE7">
        <w:t>;</w:t>
      </w:r>
      <w:r w:rsidRPr="00344BE7">
        <w:t xml:space="preserve"> reducing Illinois’ bill backlog by almost $1 billion</w:t>
      </w:r>
      <w:r w:rsidR="00761084" w:rsidRPr="00344BE7">
        <w:t>;</w:t>
      </w:r>
      <w:r w:rsidRPr="00344BE7">
        <w:t xml:space="preserve"> and lowering late payment penalties from $950 million to just over $100 million.  Pritzker reminded legislators that despite the successes of last year, our “choices remain hard; our financial situation challenging”. </w:t>
      </w:r>
      <w:r w:rsidR="00141D1D" w:rsidRPr="00344BE7">
        <w:t xml:space="preserve">  </w:t>
      </w:r>
    </w:p>
    <w:p w14:paraId="7A7FC1BE" w14:textId="489C4A02" w:rsidR="00B72313" w:rsidRPr="00344BE7" w:rsidRDefault="00687248" w:rsidP="00B72313">
      <w:pPr>
        <w:rPr>
          <w:rFonts w:cstheme="minorHAnsi"/>
        </w:rPr>
      </w:pPr>
      <w:r w:rsidRPr="00344BE7">
        <w:rPr>
          <w:rFonts w:cstheme="minorHAnsi"/>
        </w:rPr>
        <w:t>Pritzker</w:t>
      </w:r>
      <w:r w:rsidR="00FF2A4E" w:rsidRPr="00344BE7">
        <w:rPr>
          <w:rFonts w:cstheme="minorHAnsi"/>
        </w:rPr>
        <w:t xml:space="preserve"> plans to fund next year’s budget through new revenues generated from newly legalized adult use cannabis sales and expanded gaming, </w:t>
      </w:r>
      <w:r w:rsidRPr="00344BE7">
        <w:rPr>
          <w:rFonts w:cstheme="minorHAnsi"/>
        </w:rPr>
        <w:t xml:space="preserve">changing the state’s income tax structure from </w:t>
      </w:r>
      <w:r w:rsidR="006C5178" w:rsidRPr="00344BE7">
        <w:rPr>
          <w:rFonts w:cstheme="minorHAnsi"/>
        </w:rPr>
        <w:t xml:space="preserve">a </w:t>
      </w:r>
      <w:r w:rsidRPr="00344BE7">
        <w:rPr>
          <w:rFonts w:cstheme="minorHAnsi"/>
        </w:rPr>
        <w:t xml:space="preserve">flat tax to a graduated tax </w:t>
      </w:r>
      <w:r w:rsidR="00B72313" w:rsidRPr="00344BE7">
        <w:rPr>
          <w:rFonts w:cstheme="minorHAnsi"/>
        </w:rPr>
        <w:t xml:space="preserve">($1.4 billion for FY21 and $3.6 billion annually) </w:t>
      </w:r>
      <w:r w:rsidR="00FF2A4E" w:rsidRPr="00344BE7">
        <w:rPr>
          <w:rFonts w:cstheme="minorHAnsi"/>
        </w:rPr>
        <w:t xml:space="preserve">and other </w:t>
      </w:r>
      <w:r w:rsidR="00B72313" w:rsidRPr="00344BE7">
        <w:rPr>
          <w:rFonts w:cstheme="minorHAnsi"/>
        </w:rPr>
        <w:t>cost saving measures ($225 million)</w:t>
      </w:r>
      <w:r w:rsidR="00FF2A4E" w:rsidRPr="00344BE7">
        <w:rPr>
          <w:rFonts w:cstheme="minorHAnsi"/>
        </w:rPr>
        <w:t xml:space="preserve">.  </w:t>
      </w:r>
      <w:r w:rsidRPr="00344BE7">
        <w:rPr>
          <w:rFonts w:cstheme="minorHAnsi"/>
        </w:rPr>
        <w:t xml:space="preserve">Pritzker identified various cost saving measures including </w:t>
      </w:r>
      <w:r w:rsidR="00B72313" w:rsidRPr="00344BE7">
        <w:rPr>
          <w:rFonts w:cstheme="minorHAnsi"/>
        </w:rPr>
        <w:t xml:space="preserve">optimizing state agency operations, consolidating state agencies and eliminating duplicative or dormant boards and commissions.  A complete listing of the proposed cost saving measures is </w:t>
      </w:r>
      <w:hyperlink r:id="rId5" w:history="1">
        <w:r w:rsidR="00B72313" w:rsidRPr="00344BE7">
          <w:rPr>
            <w:rStyle w:val="Hyperlink"/>
            <w:rFonts w:cstheme="minorHAnsi"/>
          </w:rPr>
          <w:t>here</w:t>
        </w:r>
      </w:hyperlink>
      <w:r w:rsidR="00B72313" w:rsidRPr="00344BE7">
        <w:rPr>
          <w:rFonts w:cstheme="minorHAnsi"/>
        </w:rPr>
        <w:t xml:space="preserve">.   </w:t>
      </w:r>
    </w:p>
    <w:p w14:paraId="73192463" w14:textId="44C0BF11" w:rsidR="00B72313" w:rsidRDefault="00EF40E2" w:rsidP="005A0FCA">
      <w:pPr>
        <w:pStyle w:val="NormalWeb"/>
        <w:rPr>
          <w:rFonts w:asciiTheme="minorHAnsi" w:hAnsiTheme="minorHAnsi" w:cstheme="minorHAnsi"/>
          <w:sz w:val="22"/>
          <w:szCs w:val="22"/>
        </w:rPr>
      </w:pPr>
      <w:r w:rsidRPr="00EF40E2">
        <w:rPr>
          <w:rFonts w:asciiTheme="minorHAnsi" w:hAnsiTheme="minorHAnsi" w:cstheme="minorHAnsi"/>
          <w:sz w:val="22"/>
          <w:szCs w:val="22"/>
        </w:rPr>
        <w:t xml:space="preserve">Because budget makers will not know the outcome of the income tax question until after the November election, the Governor’s proposed budget holds roughly </w:t>
      </w:r>
      <w:r w:rsidRPr="0079562B">
        <w:rPr>
          <w:rFonts w:asciiTheme="minorHAnsi" w:hAnsiTheme="minorHAnsi" w:cstheme="minorHAnsi"/>
          <w:b/>
          <w:bCs/>
          <w:sz w:val="22"/>
          <w:szCs w:val="22"/>
        </w:rPr>
        <w:t>$1.4 billion “in reserve</w:t>
      </w:r>
      <w:r w:rsidRPr="00EF40E2">
        <w:rPr>
          <w:rFonts w:asciiTheme="minorHAnsi" w:hAnsiTheme="minorHAnsi" w:cstheme="minorHAnsi"/>
          <w:sz w:val="22"/>
          <w:szCs w:val="22"/>
        </w:rPr>
        <w:t xml:space="preserve">” pending the outcome of the graduated income tax vote.  Reserves include $307 million for elementary, secondary and higher education; $482 </w:t>
      </w:r>
      <w:r w:rsidR="00344BE7">
        <w:rPr>
          <w:rFonts w:asciiTheme="minorHAnsi" w:hAnsiTheme="minorHAnsi" w:cstheme="minorHAnsi"/>
          <w:sz w:val="22"/>
          <w:szCs w:val="22"/>
        </w:rPr>
        <w:t xml:space="preserve">million </w:t>
      </w:r>
      <w:r w:rsidRPr="00EF40E2">
        <w:rPr>
          <w:rFonts w:asciiTheme="minorHAnsi" w:hAnsiTheme="minorHAnsi" w:cstheme="minorHAnsi"/>
          <w:sz w:val="22"/>
          <w:szCs w:val="22"/>
        </w:rPr>
        <w:t>for healthcare and human services</w:t>
      </w:r>
      <w:r w:rsidR="00761084">
        <w:rPr>
          <w:rFonts w:asciiTheme="minorHAnsi" w:hAnsiTheme="minorHAnsi" w:cstheme="minorHAnsi"/>
          <w:sz w:val="22"/>
          <w:szCs w:val="22"/>
        </w:rPr>
        <w:t>;</w:t>
      </w:r>
      <w:r w:rsidRPr="00EF40E2">
        <w:rPr>
          <w:rFonts w:asciiTheme="minorHAnsi" w:hAnsiTheme="minorHAnsi" w:cstheme="minorHAnsi"/>
          <w:sz w:val="22"/>
          <w:szCs w:val="22"/>
        </w:rPr>
        <w:t xml:space="preserve"> and $602 million for state and local governments.   If voters approve changing Illinois’ income tax, the new rates, which were signed into law last year, will take effect January 1, 2021. </w:t>
      </w:r>
    </w:p>
    <w:p w14:paraId="45A0E8E8" w14:textId="49FF8D2C" w:rsidR="00EF40E2" w:rsidRPr="00EF40E2" w:rsidRDefault="00EF40E2" w:rsidP="005A0FCA">
      <w:pPr>
        <w:pStyle w:val="NormalWeb"/>
        <w:rPr>
          <w:rFonts w:asciiTheme="minorHAnsi" w:hAnsiTheme="minorHAnsi" w:cstheme="minorHAnsi"/>
          <w:sz w:val="22"/>
          <w:szCs w:val="22"/>
        </w:rPr>
      </w:pPr>
      <w:r w:rsidRPr="0079562B">
        <w:rPr>
          <w:rFonts w:asciiTheme="minorHAnsi" w:hAnsiTheme="minorHAnsi" w:cstheme="minorHAnsi"/>
          <w:b/>
          <w:bCs/>
          <w:sz w:val="22"/>
          <w:szCs w:val="22"/>
        </w:rPr>
        <w:t>Budget Highlights</w:t>
      </w:r>
      <w:r w:rsidRPr="00EF40E2">
        <w:rPr>
          <w:rFonts w:asciiTheme="minorHAnsi" w:hAnsiTheme="minorHAnsi" w:cstheme="minorHAnsi"/>
          <w:sz w:val="22"/>
          <w:szCs w:val="22"/>
        </w:rPr>
        <w:t xml:space="preserve"> include:</w:t>
      </w:r>
    </w:p>
    <w:p w14:paraId="6BD7B2C3" w14:textId="432691CB" w:rsidR="00EF40E2" w:rsidRPr="006C5178" w:rsidRDefault="00EF40E2" w:rsidP="002772CD">
      <w:pPr>
        <w:pStyle w:val="NormalWeb"/>
        <w:numPr>
          <w:ilvl w:val="0"/>
          <w:numId w:val="1"/>
        </w:numPr>
        <w:spacing w:before="120" w:beforeAutospacing="0" w:after="120" w:afterAutospacing="0"/>
        <w:rPr>
          <w:rFonts w:asciiTheme="minorHAnsi" w:hAnsiTheme="minorHAnsi" w:cstheme="minorHAnsi"/>
          <w:sz w:val="22"/>
          <w:szCs w:val="22"/>
        </w:rPr>
      </w:pPr>
      <w:r w:rsidRPr="006C5178">
        <w:rPr>
          <w:rFonts w:asciiTheme="minorHAnsi" w:hAnsiTheme="minorHAnsi" w:cstheme="minorHAnsi"/>
          <w:sz w:val="22"/>
          <w:szCs w:val="22"/>
        </w:rPr>
        <w:t>Allocating $100 million to the “</w:t>
      </w:r>
      <w:r w:rsidRPr="0079562B">
        <w:rPr>
          <w:rFonts w:asciiTheme="minorHAnsi" w:hAnsiTheme="minorHAnsi" w:cstheme="minorHAnsi"/>
          <w:b/>
          <w:bCs/>
          <w:sz w:val="22"/>
          <w:szCs w:val="22"/>
        </w:rPr>
        <w:t>Rainy Day Fund</w:t>
      </w:r>
      <w:r w:rsidRPr="006C5178">
        <w:rPr>
          <w:rFonts w:asciiTheme="minorHAnsi" w:hAnsiTheme="minorHAnsi" w:cstheme="minorHAnsi"/>
          <w:sz w:val="22"/>
          <w:szCs w:val="22"/>
        </w:rPr>
        <w:t xml:space="preserve">” over the next 16 months.  </w:t>
      </w:r>
    </w:p>
    <w:p w14:paraId="39B3FB47" w14:textId="41239E27" w:rsidR="00EF40E2" w:rsidRPr="006C5178" w:rsidRDefault="006C5178" w:rsidP="002772CD">
      <w:pPr>
        <w:pStyle w:val="NormalWeb"/>
        <w:numPr>
          <w:ilvl w:val="0"/>
          <w:numId w:val="1"/>
        </w:numPr>
        <w:spacing w:before="120" w:beforeAutospacing="0" w:after="120" w:afterAutospacing="0"/>
        <w:rPr>
          <w:rFonts w:asciiTheme="minorHAnsi" w:hAnsiTheme="minorHAnsi" w:cstheme="minorHAnsi"/>
          <w:sz w:val="22"/>
          <w:szCs w:val="22"/>
        </w:rPr>
      </w:pPr>
      <w:r w:rsidRPr="006C5178">
        <w:rPr>
          <w:rFonts w:asciiTheme="minorHAnsi" w:hAnsiTheme="minorHAnsi" w:cstheme="minorHAnsi"/>
          <w:sz w:val="22"/>
          <w:szCs w:val="22"/>
        </w:rPr>
        <w:t xml:space="preserve">In addition to making the </w:t>
      </w:r>
      <w:r w:rsidRPr="0079562B">
        <w:rPr>
          <w:rFonts w:asciiTheme="minorHAnsi" w:hAnsiTheme="minorHAnsi" w:cstheme="minorHAnsi"/>
          <w:b/>
          <w:bCs/>
          <w:sz w:val="22"/>
          <w:szCs w:val="22"/>
        </w:rPr>
        <w:t>full pension payment</w:t>
      </w:r>
      <w:r w:rsidRPr="006C5178">
        <w:rPr>
          <w:rFonts w:asciiTheme="minorHAnsi" w:hAnsiTheme="minorHAnsi" w:cstheme="minorHAnsi"/>
          <w:sz w:val="22"/>
          <w:szCs w:val="22"/>
        </w:rPr>
        <w:t>, Pritzker pledged an additional $100 million to reduce net pension liability.  He would like to see that figure double over the next few years.</w:t>
      </w:r>
    </w:p>
    <w:p w14:paraId="0E772247" w14:textId="0C602011" w:rsidR="006C5178" w:rsidRPr="006C5178" w:rsidRDefault="006C5178" w:rsidP="002772CD">
      <w:pPr>
        <w:pStyle w:val="NormalWeb"/>
        <w:numPr>
          <w:ilvl w:val="0"/>
          <w:numId w:val="1"/>
        </w:numPr>
        <w:spacing w:before="120" w:beforeAutospacing="0" w:after="120" w:afterAutospacing="0"/>
        <w:rPr>
          <w:rFonts w:asciiTheme="minorHAnsi" w:hAnsiTheme="minorHAnsi" w:cstheme="minorHAnsi"/>
          <w:sz w:val="22"/>
          <w:szCs w:val="22"/>
        </w:rPr>
      </w:pPr>
      <w:r w:rsidRPr="006C5178">
        <w:rPr>
          <w:rFonts w:asciiTheme="minorHAnsi" w:hAnsiTheme="minorHAnsi" w:cstheme="minorHAnsi"/>
          <w:sz w:val="22"/>
          <w:szCs w:val="22"/>
        </w:rPr>
        <w:t xml:space="preserve">Increasing funding for the </w:t>
      </w:r>
      <w:r w:rsidRPr="0079562B">
        <w:rPr>
          <w:rFonts w:asciiTheme="minorHAnsi" w:hAnsiTheme="minorHAnsi" w:cstheme="minorHAnsi"/>
          <w:b/>
          <w:bCs/>
          <w:sz w:val="22"/>
          <w:szCs w:val="22"/>
        </w:rPr>
        <w:t>Department of Children and Family Services</w:t>
      </w:r>
      <w:r w:rsidRPr="006C5178">
        <w:rPr>
          <w:rFonts w:asciiTheme="minorHAnsi" w:hAnsiTheme="minorHAnsi" w:cstheme="minorHAnsi"/>
          <w:sz w:val="22"/>
          <w:szCs w:val="22"/>
        </w:rPr>
        <w:t xml:space="preserve"> by </w:t>
      </w:r>
      <w:r w:rsidRPr="003F7945">
        <w:rPr>
          <w:rFonts w:asciiTheme="minorHAnsi" w:hAnsiTheme="minorHAnsi" w:cstheme="minorHAnsi"/>
          <w:sz w:val="22"/>
          <w:szCs w:val="22"/>
        </w:rPr>
        <w:t xml:space="preserve">$147 million </w:t>
      </w:r>
      <w:r w:rsidRPr="006C5178">
        <w:rPr>
          <w:rFonts w:asciiTheme="minorHAnsi" w:hAnsiTheme="minorHAnsi" w:cstheme="minorHAnsi"/>
          <w:sz w:val="22"/>
          <w:szCs w:val="22"/>
        </w:rPr>
        <w:t>to increase staffing and support for investigations and fund a third simulation lab to help train investigators.</w:t>
      </w:r>
    </w:p>
    <w:p w14:paraId="5EBAE8F1" w14:textId="2BCCC427" w:rsidR="006C5178" w:rsidRPr="006C5178" w:rsidRDefault="002E6703" w:rsidP="002772CD">
      <w:pPr>
        <w:pStyle w:val="NormalWeb"/>
        <w:numPr>
          <w:ilvl w:val="0"/>
          <w:numId w:val="1"/>
        </w:numPr>
        <w:spacing w:before="120" w:beforeAutospacing="0" w:after="120" w:afterAutospacing="0"/>
        <w:rPr>
          <w:rFonts w:asciiTheme="minorHAnsi" w:hAnsiTheme="minorHAnsi" w:cstheme="minorHAnsi"/>
          <w:sz w:val="22"/>
          <w:szCs w:val="22"/>
        </w:rPr>
      </w:pPr>
      <w:r>
        <w:rPr>
          <w:rFonts w:asciiTheme="minorHAnsi" w:hAnsiTheme="minorHAnsi" w:cstheme="minorHAnsi"/>
          <w:sz w:val="22"/>
          <w:szCs w:val="22"/>
        </w:rPr>
        <w:t>Adding</w:t>
      </w:r>
      <w:r w:rsidR="006C5178" w:rsidRPr="006C5178">
        <w:rPr>
          <w:rFonts w:asciiTheme="minorHAnsi" w:hAnsiTheme="minorHAnsi" w:cstheme="minorHAnsi"/>
          <w:sz w:val="22"/>
          <w:szCs w:val="22"/>
        </w:rPr>
        <w:t xml:space="preserve"> </w:t>
      </w:r>
      <w:r w:rsidR="006C5178" w:rsidRPr="0079562B">
        <w:rPr>
          <w:rFonts w:asciiTheme="minorHAnsi" w:hAnsiTheme="minorHAnsi" w:cstheme="minorHAnsi"/>
          <w:b/>
          <w:bCs/>
          <w:sz w:val="22"/>
          <w:szCs w:val="22"/>
        </w:rPr>
        <w:t>100 DHS caseworkers</w:t>
      </w:r>
      <w:r w:rsidR="006C5178" w:rsidRPr="006C5178">
        <w:rPr>
          <w:rFonts w:asciiTheme="minorHAnsi" w:hAnsiTheme="minorHAnsi" w:cstheme="minorHAnsi"/>
          <w:sz w:val="22"/>
          <w:szCs w:val="22"/>
        </w:rPr>
        <w:t xml:space="preserve"> to reduce backlogs in Medicaid eligibility determinations</w:t>
      </w:r>
      <w:r>
        <w:rPr>
          <w:rFonts w:asciiTheme="minorHAnsi" w:hAnsiTheme="minorHAnsi" w:cstheme="minorHAnsi"/>
          <w:sz w:val="22"/>
          <w:szCs w:val="22"/>
        </w:rPr>
        <w:t>.</w:t>
      </w:r>
    </w:p>
    <w:p w14:paraId="48A60F15" w14:textId="698DE734" w:rsidR="006C5178" w:rsidRDefault="006C5178" w:rsidP="002772CD">
      <w:pPr>
        <w:pStyle w:val="NormalWeb"/>
        <w:numPr>
          <w:ilvl w:val="0"/>
          <w:numId w:val="1"/>
        </w:numPr>
        <w:spacing w:before="120" w:beforeAutospacing="0" w:after="120" w:afterAutospacing="0"/>
        <w:rPr>
          <w:rFonts w:asciiTheme="minorHAnsi" w:hAnsiTheme="minorHAnsi" w:cstheme="minorHAnsi"/>
          <w:sz w:val="22"/>
          <w:szCs w:val="22"/>
        </w:rPr>
      </w:pPr>
      <w:r w:rsidRPr="006C5178">
        <w:rPr>
          <w:rFonts w:asciiTheme="minorHAnsi" w:hAnsiTheme="minorHAnsi" w:cstheme="minorHAnsi"/>
          <w:sz w:val="22"/>
          <w:szCs w:val="22"/>
        </w:rPr>
        <w:t xml:space="preserve">Pritzker included $4.5 million to reinstate the </w:t>
      </w:r>
      <w:r w:rsidRPr="0079562B">
        <w:rPr>
          <w:rFonts w:asciiTheme="minorHAnsi" w:hAnsiTheme="minorHAnsi" w:cstheme="minorHAnsi"/>
          <w:b/>
          <w:bCs/>
          <w:sz w:val="22"/>
          <w:szCs w:val="22"/>
        </w:rPr>
        <w:t>marketplace navigator program</w:t>
      </w:r>
      <w:r w:rsidR="002E6703">
        <w:rPr>
          <w:rFonts w:asciiTheme="minorHAnsi" w:hAnsiTheme="minorHAnsi" w:cstheme="minorHAnsi"/>
          <w:sz w:val="22"/>
          <w:szCs w:val="22"/>
        </w:rPr>
        <w:t>.</w:t>
      </w:r>
    </w:p>
    <w:p w14:paraId="45EAB69C" w14:textId="6188AA29" w:rsidR="002E6703" w:rsidRPr="00581538" w:rsidRDefault="002E6703" w:rsidP="00581538">
      <w:pPr>
        <w:pStyle w:val="ListParagraph"/>
        <w:numPr>
          <w:ilvl w:val="0"/>
          <w:numId w:val="1"/>
        </w:numPr>
        <w:spacing w:before="120" w:after="120" w:line="240" w:lineRule="auto"/>
        <w:contextualSpacing w:val="0"/>
        <w:rPr>
          <w:rFonts w:eastAsia="Times New Roman" w:cstheme="minorHAnsi"/>
        </w:rPr>
      </w:pPr>
      <w:r>
        <w:rPr>
          <w:rFonts w:eastAsia="Times New Roman" w:cstheme="minorHAnsi"/>
        </w:rPr>
        <w:t xml:space="preserve">Pritzker added </w:t>
      </w:r>
      <w:r w:rsidR="006C5178" w:rsidRPr="006C5178">
        <w:rPr>
          <w:rFonts w:eastAsia="Times New Roman" w:cstheme="minorHAnsi"/>
        </w:rPr>
        <w:t xml:space="preserve">$60 million for a proposed </w:t>
      </w:r>
      <w:r w:rsidR="006C5178" w:rsidRPr="0079562B">
        <w:rPr>
          <w:rFonts w:eastAsia="Times New Roman" w:cstheme="minorHAnsi"/>
          <w:b/>
          <w:bCs/>
        </w:rPr>
        <w:t>rate increase for Homemaker Services</w:t>
      </w:r>
      <w:r>
        <w:rPr>
          <w:rFonts w:eastAsia="Times New Roman" w:cstheme="minorHAnsi"/>
        </w:rPr>
        <w:t>.</w:t>
      </w:r>
    </w:p>
    <w:p w14:paraId="7204F0F0" w14:textId="0651E9BE" w:rsidR="006C5178" w:rsidRPr="0079562B" w:rsidRDefault="006C5178" w:rsidP="002772CD">
      <w:pPr>
        <w:pStyle w:val="ListParagraph"/>
        <w:numPr>
          <w:ilvl w:val="0"/>
          <w:numId w:val="1"/>
        </w:numPr>
        <w:spacing w:before="120" w:after="120" w:line="240" w:lineRule="auto"/>
        <w:contextualSpacing w:val="0"/>
        <w:rPr>
          <w:rFonts w:eastAsia="Times New Roman" w:cstheme="minorHAnsi"/>
          <w:b/>
          <w:bCs/>
        </w:rPr>
      </w:pPr>
      <w:r w:rsidRPr="002E6703">
        <w:rPr>
          <w:rFonts w:eastAsia="Times New Roman" w:cstheme="minorHAnsi"/>
        </w:rPr>
        <w:t xml:space="preserve"> </w:t>
      </w:r>
      <w:r w:rsidR="002E6703">
        <w:rPr>
          <w:rFonts w:eastAsia="Times New Roman" w:cstheme="minorHAnsi"/>
        </w:rPr>
        <w:t>The proposed budget adds</w:t>
      </w:r>
      <w:r w:rsidRPr="002E6703">
        <w:rPr>
          <w:rFonts w:eastAsia="Times New Roman" w:cstheme="minorHAnsi"/>
        </w:rPr>
        <w:t xml:space="preserve"> $2 million to eliminate waiting lists for </w:t>
      </w:r>
      <w:r w:rsidR="002E6703">
        <w:rPr>
          <w:rFonts w:eastAsia="Times New Roman" w:cstheme="minorHAnsi"/>
        </w:rPr>
        <w:t xml:space="preserve">the </w:t>
      </w:r>
      <w:r w:rsidRPr="0079562B">
        <w:rPr>
          <w:rFonts w:eastAsia="Times New Roman" w:cstheme="minorHAnsi"/>
          <w:b/>
          <w:bCs/>
        </w:rPr>
        <w:t>Home Delivered Meals</w:t>
      </w:r>
      <w:r w:rsidR="002E6703" w:rsidRPr="0079562B">
        <w:rPr>
          <w:rFonts w:eastAsia="Times New Roman" w:cstheme="minorHAnsi"/>
          <w:b/>
          <w:bCs/>
        </w:rPr>
        <w:t xml:space="preserve"> Program.</w:t>
      </w:r>
    </w:p>
    <w:p w14:paraId="0B01EB14" w14:textId="39D4F875" w:rsidR="006C5178" w:rsidRPr="006C5178" w:rsidRDefault="006C5178" w:rsidP="002772CD">
      <w:pPr>
        <w:pStyle w:val="NormalWeb"/>
        <w:numPr>
          <w:ilvl w:val="0"/>
          <w:numId w:val="1"/>
        </w:numPr>
        <w:spacing w:before="120" w:beforeAutospacing="0" w:after="120" w:afterAutospacing="0"/>
        <w:rPr>
          <w:rFonts w:asciiTheme="minorHAnsi" w:hAnsiTheme="minorHAnsi" w:cstheme="minorHAnsi"/>
          <w:sz w:val="22"/>
          <w:szCs w:val="22"/>
        </w:rPr>
      </w:pPr>
      <w:r w:rsidRPr="006C5178">
        <w:rPr>
          <w:rFonts w:asciiTheme="minorHAnsi" w:hAnsiTheme="minorHAnsi" w:cstheme="minorHAnsi"/>
          <w:sz w:val="22"/>
          <w:szCs w:val="22"/>
        </w:rPr>
        <w:t xml:space="preserve">Governor Pritzker proposed increasing the </w:t>
      </w:r>
      <w:r w:rsidRPr="0079562B">
        <w:rPr>
          <w:rFonts w:asciiTheme="minorHAnsi" w:hAnsiTheme="minorHAnsi" w:cstheme="minorHAnsi"/>
          <w:b/>
          <w:bCs/>
          <w:sz w:val="22"/>
          <w:szCs w:val="22"/>
        </w:rPr>
        <w:t>Early Childhood Block Grant</w:t>
      </w:r>
      <w:r w:rsidRPr="006C5178">
        <w:rPr>
          <w:rFonts w:asciiTheme="minorHAnsi" w:hAnsiTheme="minorHAnsi" w:cstheme="minorHAnsi"/>
          <w:sz w:val="22"/>
          <w:szCs w:val="22"/>
        </w:rPr>
        <w:t xml:space="preserve"> by $50 million</w:t>
      </w:r>
      <w:r w:rsidR="007E243A">
        <w:rPr>
          <w:rFonts w:asciiTheme="minorHAnsi" w:hAnsiTheme="minorHAnsi" w:cstheme="minorHAnsi"/>
          <w:sz w:val="22"/>
          <w:szCs w:val="22"/>
        </w:rPr>
        <w:t xml:space="preserve"> and the </w:t>
      </w:r>
      <w:r w:rsidRPr="0079562B">
        <w:rPr>
          <w:rFonts w:asciiTheme="minorHAnsi" w:hAnsiTheme="minorHAnsi" w:cstheme="minorHAnsi"/>
          <w:b/>
          <w:bCs/>
          <w:sz w:val="22"/>
          <w:szCs w:val="22"/>
        </w:rPr>
        <w:t xml:space="preserve">Child Care Assistance </w:t>
      </w:r>
      <w:r w:rsidR="007E243A" w:rsidRPr="0079562B">
        <w:rPr>
          <w:rFonts w:asciiTheme="minorHAnsi" w:hAnsiTheme="minorHAnsi" w:cstheme="minorHAnsi"/>
          <w:b/>
          <w:bCs/>
          <w:sz w:val="22"/>
          <w:szCs w:val="22"/>
        </w:rPr>
        <w:t>Program</w:t>
      </w:r>
      <w:r w:rsidR="007E243A">
        <w:rPr>
          <w:rFonts w:asciiTheme="minorHAnsi" w:hAnsiTheme="minorHAnsi" w:cstheme="minorHAnsi"/>
          <w:sz w:val="22"/>
          <w:szCs w:val="22"/>
        </w:rPr>
        <w:t xml:space="preserve"> </w:t>
      </w:r>
      <w:r w:rsidRPr="006C5178">
        <w:rPr>
          <w:rFonts w:asciiTheme="minorHAnsi" w:hAnsiTheme="minorHAnsi" w:cstheme="minorHAnsi"/>
          <w:sz w:val="22"/>
          <w:szCs w:val="22"/>
        </w:rPr>
        <w:t>by $100 million</w:t>
      </w:r>
      <w:r w:rsidR="007E243A">
        <w:rPr>
          <w:rFonts w:asciiTheme="minorHAnsi" w:hAnsiTheme="minorHAnsi" w:cstheme="minorHAnsi"/>
          <w:sz w:val="22"/>
          <w:szCs w:val="22"/>
        </w:rPr>
        <w:t>.</w:t>
      </w:r>
    </w:p>
    <w:p w14:paraId="6FC73D69" w14:textId="3AE24DAA" w:rsidR="007E243A" w:rsidRDefault="007E243A" w:rsidP="002772CD">
      <w:pPr>
        <w:pStyle w:val="NormalWeb"/>
        <w:numPr>
          <w:ilvl w:val="0"/>
          <w:numId w:val="1"/>
        </w:numPr>
        <w:spacing w:before="120" w:beforeAutospacing="0" w:after="120" w:afterAutospacing="0"/>
        <w:rPr>
          <w:rFonts w:asciiTheme="minorHAnsi" w:hAnsiTheme="minorHAnsi" w:cstheme="minorHAnsi"/>
          <w:sz w:val="22"/>
          <w:szCs w:val="22"/>
        </w:rPr>
      </w:pPr>
      <w:r>
        <w:rPr>
          <w:rFonts w:asciiTheme="minorHAnsi" w:hAnsiTheme="minorHAnsi" w:cstheme="minorHAnsi"/>
          <w:sz w:val="22"/>
          <w:szCs w:val="22"/>
        </w:rPr>
        <w:lastRenderedPageBreak/>
        <w:t xml:space="preserve">Pritzker proposed raising </w:t>
      </w:r>
      <w:r w:rsidRPr="0079562B">
        <w:rPr>
          <w:rFonts w:asciiTheme="minorHAnsi" w:hAnsiTheme="minorHAnsi" w:cstheme="minorHAnsi"/>
          <w:b/>
          <w:bCs/>
          <w:sz w:val="22"/>
          <w:szCs w:val="22"/>
        </w:rPr>
        <w:t>MAP</w:t>
      </w:r>
      <w:r>
        <w:rPr>
          <w:rFonts w:asciiTheme="minorHAnsi" w:hAnsiTheme="minorHAnsi" w:cstheme="minorHAnsi"/>
          <w:sz w:val="22"/>
          <w:szCs w:val="22"/>
        </w:rPr>
        <w:t xml:space="preserve"> funding by </w:t>
      </w:r>
      <w:r w:rsidR="006C5178" w:rsidRPr="006C5178">
        <w:rPr>
          <w:rFonts w:asciiTheme="minorHAnsi" w:hAnsiTheme="minorHAnsi" w:cstheme="minorHAnsi"/>
          <w:sz w:val="22"/>
          <w:szCs w:val="22"/>
        </w:rPr>
        <w:t>$50 million</w:t>
      </w:r>
      <w:r>
        <w:rPr>
          <w:rFonts w:asciiTheme="minorHAnsi" w:hAnsiTheme="minorHAnsi" w:cstheme="minorHAnsi"/>
          <w:sz w:val="22"/>
          <w:szCs w:val="22"/>
        </w:rPr>
        <w:t xml:space="preserve"> </w:t>
      </w:r>
      <w:r w:rsidR="006C5178" w:rsidRPr="006C5178">
        <w:rPr>
          <w:rFonts w:asciiTheme="minorHAnsi" w:hAnsiTheme="minorHAnsi" w:cstheme="minorHAnsi"/>
          <w:sz w:val="22"/>
          <w:szCs w:val="22"/>
        </w:rPr>
        <w:t xml:space="preserve">and </w:t>
      </w:r>
      <w:r w:rsidR="008C1890">
        <w:rPr>
          <w:rFonts w:asciiTheme="minorHAnsi" w:hAnsiTheme="minorHAnsi" w:cstheme="minorHAnsi"/>
          <w:sz w:val="22"/>
          <w:szCs w:val="22"/>
        </w:rPr>
        <w:t>dedicating</w:t>
      </w:r>
      <w:r w:rsidR="006C5178" w:rsidRPr="006C5178">
        <w:rPr>
          <w:rFonts w:asciiTheme="minorHAnsi" w:hAnsiTheme="minorHAnsi" w:cstheme="minorHAnsi"/>
          <w:sz w:val="22"/>
          <w:szCs w:val="22"/>
        </w:rPr>
        <w:t xml:space="preserve"> 15% of the MAP awards to community college students.  Pritzker also pledged </w:t>
      </w:r>
      <w:r w:rsidR="006C5178" w:rsidRPr="0079562B">
        <w:rPr>
          <w:rFonts w:asciiTheme="minorHAnsi" w:hAnsiTheme="minorHAnsi" w:cstheme="minorHAnsi"/>
          <w:b/>
          <w:bCs/>
          <w:sz w:val="22"/>
          <w:szCs w:val="22"/>
        </w:rPr>
        <w:t>tuition-free community college</w:t>
      </w:r>
      <w:r w:rsidR="006C5178" w:rsidRPr="006C5178">
        <w:rPr>
          <w:rFonts w:asciiTheme="minorHAnsi" w:hAnsiTheme="minorHAnsi" w:cstheme="minorHAnsi"/>
          <w:sz w:val="22"/>
          <w:szCs w:val="22"/>
        </w:rPr>
        <w:t xml:space="preserve"> for MAP eligible students in families with incomes under $45,000 with a federal Pell Grant.  </w:t>
      </w:r>
    </w:p>
    <w:p w14:paraId="78287EE7" w14:textId="69234BBD" w:rsidR="006C5178" w:rsidRPr="006C5178" w:rsidRDefault="007E243A" w:rsidP="002772CD">
      <w:pPr>
        <w:pStyle w:val="NormalWeb"/>
        <w:numPr>
          <w:ilvl w:val="0"/>
          <w:numId w:val="1"/>
        </w:numPr>
        <w:spacing w:before="120" w:beforeAutospacing="0" w:after="120" w:afterAutospacing="0"/>
        <w:rPr>
          <w:rFonts w:asciiTheme="minorHAnsi" w:hAnsiTheme="minorHAnsi" w:cstheme="minorHAnsi"/>
          <w:sz w:val="22"/>
          <w:szCs w:val="22"/>
        </w:rPr>
      </w:pPr>
      <w:r>
        <w:rPr>
          <w:rFonts w:asciiTheme="minorHAnsi" w:hAnsiTheme="minorHAnsi" w:cstheme="minorHAnsi"/>
          <w:sz w:val="22"/>
          <w:szCs w:val="22"/>
        </w:rPr>
        <w:t>The FY 21 budget</w:t>
      </w:r>
      <w:r w:rsidR="006C5178" w:rsidRPr="006C5178">
        <w:rPr>
          <w:rFonts w:asciiTheme="minorHAnsi" w:hAnsiTheme="minorHAnsi" w:cstheme="minorHAnsi"/>
          <w:sz w:val="22"/>
          <w:szCs w:val="22"/>
        </w:rPr>
        <w:t xml:space="preserve"> increases </w:t>
      </w:r>
      <w:r w:rsidR="006C5178" w:rsidRPr="0079562B">
        <w:rPr>
          <w:rFonts w:asciiTheme="minorHAnsi" w:hAnsiTheme="minorHAnsi" w:cstheme="minorHAnsi"/>
          <w:b/>
          <w:bCs/>
          <w:sz w:val="22"/>
          <w:szCs w:val="22"/>
        </w:rPr>
        <w:t>public university</w:t>
      </w:r>
      <w:r w:rsidR="006C5178" w:rsidRPr="006C5178">
        <w:rPr>
          <w:rFonts w:asciiTheme="minorHAnsi" w:hAnsiTheme="minorHAnsi" w:cstheme="minorHAnsi"/>
          <w:sz w:val="22"/>
          <w:szCs w:val="22"/>
        </w:rPr>
        <w:t xml:space="preserve"> operations funding by $55.6 million</w:t>
      </w:r>
      <w:r>
        <w:rPr>
          <w:rFonts w:asciiTheme="minorHAnsi" w:hAnsiTheme="minorHAnsi" w:cstheme="minorHAnsi"/>
          <w:sz w:val="22"/>
          <w:szCs w:val="22"/>
        </w:rPr>
        <w:t xml:space="preserve"> and</w:t>
      </w:r>
      <w:r w:rsidR="006C5178" w:rsidRPr="006C5178">
        <w:rPr>
          <w:rFonts w:asciiTheme="minorHAnsi" w:hAnsiTheme="minorHAnsi" w:cstheme="minorHAnsi"/>
          <w:sz w:val="22"/>
          <w:szCs w:val="22"/>
        </w:rPr>
        <w:t xml:space="preserve"> increases </w:t>
      </w:r>
      <w:r w:rsidR="006C5178" w:rsidRPr="0079562B">
        <w:rPr>
          <w:rFonts w:asciiTheme="minorHAnsi" w:hAnsiTheme="minorHAnsi" w:cstheme="minorHAnsi"/>
          <w:b/>
          <w:bCs/>
          <w:sz w:val="22"/>
          <w:szCs w:val="22"/>
        </w:rPr>
        <w:t>community college</w:t>
      </w:r>
      <w:r w:rsidR="006C5178" w:rsidRPr="006C5178">
        <w:rPr>
          <w:rFonts w:asciiTheme="minorHAnsi" w:hAnsiTheme="minorHAnsi" w:cstheme="minorHAnsi"/>
          <w:sz w:val="22"/>
          <w:szCs w:val="22"/>
        </w:rPr>
        <w:t xml:space="preserve"> operations funding by $14.9 million</w:t>
      </w:r>
      <w:r>
        <w:rPr>
          <w:rFonts w:asciiTheme="minorHAnsi" w:hAnsiTheme="minorHAnsi" w:cstheme="minorHAnsi"/>
          <w:sz w:val="22"/>
          <w:szCs w:val="22"/>
        </w:rPr>
        <w:t>.</w:t>
      </w:r>
    </w:p>
    <w:p w14:paraId="69295D18" w14:textId="2A5D3435" w:rsidR="006C5178" w:rsidRPr="00344BE7" w:rsidRDefault="006C5178" w:rsidP="00344BE7">
      <w:pPr>
        <w:pStyle w:val="NormalWeb"/>
        <w:numPr>
          <w:ilvl w:val="0"/>
          <w:numId w:val="1"/>
        </w:numPr>
        <w:spacing w:before="120" w:beforeAutospacing="0" w:after="120" w:afterAutospacing="0"/>
        <w:rPr>
          <w:rFonts w:asciiTheme="minorHAnsi" w:hAnsiTheme="minorHAnsi" w:cstheme="minorHAnsi"/>
          <w:sz w:val="22"/>
          <w:szCs w:val="22"/>
        </w:rPr>
      </w:pPr>
      <w:r w:rsidRPr="006C5178">
        <w:rPr>
          <w:rFonts w:asciiTheme="minorHAnsi" w:hAnsiTheme="minorHAnsi" w:cstheme="minorHAnsi"/>
          <w:sz w:val="22"/>
          <w:szCs w:val="22"/>
        </w:rPr>
        <w:t xml:space="preserve">Pritzker’s budget includes $52.8 million for remediation of </w:t>
      </w:r>
      <w:r w:rsidRPr="0079562B">
        <w:rPr>
          <w:rFonts w:asciiTheme="minorHAnsi" w:hAnsiTheme="minorHAnsi" w:cstheme="minorHAnsi"/>
          <w:b/>
          <w:bCs/>
          <w:sz w:val="22"/>
          <w:szCs w:val="22"/>
        </w:rPr>
        <w:t>coal ash waste</w:t>
      </w:r>
      <w:r w:rsidR="007E243A">
        <w:rPr>
          <w:rFonts w:asciiTheme="minorHAnsi" w:hAnsiTheme="minorHAnsi" w:cstheme="minorHAnsi"/>
          <w:sz w:val="22"/>
          <w:szCs w:val="22"/>
        </w:rPr>
        <w:t xml:space="preserve"> and </w:t>
      </w:r>
      <w:r w:rsidRPr="006C5178">
        <w:rPr>
          <w:rFonts w:asciiTheme="minorHAnsi" w:hAnsiTheme="minorHAnsi" w:cstheme="minorHAnsi"/>
          <w:sz w:val="22"/>
          <w:szCs w:val="22"/>
        </w:rPr>
        <w:t xml:space="preserve">includes $651.1 million for new </w:t>
      </w:r>
      <w:r w:rsidRPr="0079562B">
        <w:rPr>
          <w:rFonts w:asciiTheme="minorHAnsi" w:hAnsiTheme="minorHAnsi" w:cstheme="minorHAnsi"/>
          <w:b/>
          <w:bCs/>
          <w:sz w:val="22"/>
          <w:szCs w:val="22"/>
        </w:rPr>
        <w:t>capital appropriations</w:t>
      </w:r>
      <w:r w:rsidRPr="006C5178">
        <w:rPr>
          <w:rFonts w:asciiTheme="minorHAnsi" w:hAnsiTheme="minorHAnsi" w:cstheme="minorHAnsi"/>
          <w:sz w:val="22"/>
          <w:szCs w:val="22"/>
        </w:rPr>
        <w:t xml:space="preserve"> to fund municipal water loans and grants to improve the quality of Illinois water resources</w:t>
      </w:r>
      <w:r w:rsidR="007E243A">
        <w:rPr>
          <w:rFonts w:asciiTheme="minorHAnsi" w:hAnsiTheme="minorHAnsi" w:cstheme="minorHAnsi"/>
          <w:sz w:val="22"/>
          <w:szCs w:val="22"/>
        </w:rPr>
        <w:t>.</w:t>
      </w:r>
    </w:p>
    <w:p w14:paraId="0E19EC7C" w14:textId="5E43BFB9" w:rsidR="008C1890" w:rsidRDefault="008C1890" w:rsidP="002772CD">
      <w:pPr>
        <w:pStyle w:val="ListParagraph"/>
        <w:numPr>
          <w:ilvl w:val="0"/>
          <w:numId w:val="1"/>
        </w:numPr>
        <w:spacing w:before="120" w:after="120" w:line="240" w:lineRule="auto"/>
        <w:contextualSpacing w:val="0"/>
        <w:rPr>
          <w:rFonts w:eastAsia="Times New Roman" w:cstheme="minorHAnsi"/>
        </w:rPr>
      </w:pPr>
      <w:r>
        <w:rPr>
          <w:rFonts w:eastAsia="Times New Roman" w:cstheme="minorHAnsi"/>
        </w:rPr>
        <w:t xml:space="preserve">An additional $35 million is allocated for </w:t>
      </w:r>
      <w:r w:rsidRPr="0079562B">
        <w:rPr>
          <w:rFonts w:eastAsia="Times New Roman" w:cstheme="minorHAnsi"/>
          <w:b/>
          <w:bCs/>
        </w:rPr>
        <w:t>Restore, Reinvest and Renew</w:t>
      </w:r>
      <w:r>
        <w:rPr>
          <w:rFonts w:eastAsia="Times New Roman" w:cstheme="minorHAnsi"/>
        </w:rPr>
        <w:t xml:space="preserve"> (R3) initiatives in communities in need.</w:t>
      </w:r>
    </w:p>
    <w:p w14:paraId="681EF3DF" w14:textId="245AACCD" w:rsidR="008C1890" w:rsidRDefault="008C1890" w:rsidP="002772CD">
      <w:pPr>
        <w:pStyle w:val="ListParagraph"/>
        <w:numPr>
          <w:ilvl w:val="0"/>
          <w:numId w:val="1"/>
        </w:numPr>
        <w:spacing w:before="120" w:after="120" w:line="240" w:lineRule="auto"/>
        <w:contextualSpacing w:val="0"/>
        <w:rPr>
          <w:rFonts w:eastAsia="Times New Roman" w:cstheme="minorHAnsi"/>
        </w:rPr>
      </w:pPr>
      <w:r>
        <w:rPr>
          <w:rFonts w:eastAsia="Times New Roman" w:cstheme="minorHAnsi"/>
        </w:rPr>
        <w:t xml:space="preserve">The proposed budget includes $18 million for loans to </w:t>
      </w:r>
      <w:r w:rsidRPr="0079562B">
        <w:rPr>
          <w:rFonts w:eastAsia="Times New Roman" w:cstheme="minorHAnsi"/>
          <w:b/>
          <w:bCs/>
        </w:rPr>
        <w:t>social equity applicants</w:t>
      </w:r>
      <w:r>
        <w:rPr>
          <w:rFonts w:eastAsia="Times New Roman" w:cstheme="minorHAnsi"/>
        </w:rPr>
        <w:t xml:space="preserve"> to start and operate cannabis businesses.  </w:t>
      </w:r>
    </w:p>
    <w:p w14:paraId="45A3F4E9" w14:textId="47E90378" w:rsidR="008C1890" w:rsidRPr="006C5178" w:rsidRDefault="008C1890" w:rsidP="002772CD">
      <w:pPr>
        <w:pStyle w:val="ListParagraph"/>
        <w:numPr>
          <w:ilvl w:val="0"/>
          <w:numId w:val="1"/>
        </w:numPr>
        <w:spacing w:before="120" w:after="120" w:line="240" w:lineRule="auto"/>
        <w:contextualSpacing w:val="0"/>
        <w:rPr>
          <w:rFonts w:eastAsia="Times New Roman" w:cstheme="minorHAnsi"/>
        </w:rPr>
      </w:pPr>
      <w:r>
        <w:rPr>
          <w:rFonts w:eastAsia="Times New Roman" w:cstheme="minorHAnsi"/>
        </w:rPr>
        <w:t xml:space="preserve">$500,000 is allocated to planning grants to supplement the </w:t>
      </w:r>
      <w:r w:rsidRPr="0079562B">
        <w:rPr>
          <w:rFonts w:eastAsia="Times New Roman" w:cstheme="minorHAnsi"/>
          <w:b/>
          <w:bCs/>
        </w:rPr>
        <w:t>Connect Illinois</w:t>
      </w:r>
      <w:r>
        <w:rPr>
          <w:rFonts w:eastAsia="Times New Roman" w:cstheme="minorHAnsi"/>
        </w:rPr>
        <w:t xml:space="preserve"> capital broadband initiative include</w:t>
      </w:r>
      <w:r w:rsidR="00761084">
        <w:rPr>
          <w:rFonts w:eastAsia="Times New Roman" w:cstheme="minorHAnsi"/>
        </w:rPr>
        <w:t>d</w:t>
      </w:r>
      <w:r>
        <w:rPr>
          <w:rFonts w:eastAsia="Times New Roman" w:cstheme="minorHAnsi"/>
        </w:rPr>
        <w:t xml:space="preserve"> in Rebuild Illinois.</w:t>
      </w:r>
    </w:p>
    <w:p w14:paraId="4EE4F7C1" w14:textId="2D5264D4" w:rsidR="005A43CD" w:rsidRPr="00344BE7" w:rsidRDefault="0030030E" w:rsidP="00344BE7">
      <w:pPr>
        <w:pStyle w:val="NormalWeb"/>
        <w:spacing w:before="120" w:beforeAutospacing="0" w:after="120" w:afterAutospacing="0"/>
        <w:rPr>
          <w:rStyle w:val="Strong"/>
          <w:rFonts w:asciiTheme="minorHAnsi" w:hAnsiTheme="minorHAnsi" w:cstheme="minorHAnsi"/>
          <w:b w:val="0"/>
          <w:bCs w:val="0"/>
          <w:sz w:val="22"/>
          <w:szCs w:val="22"/>
        </w:rPr>
        <w:sectPr w:rsidR="005A43CD" w:rsidRPr="00344BE7">
          <w:pgSz w:w="12240" w:h="15840"/>
          <w:pgMar w:top="1440" w:right="1440" w:bottom="1440" w:left="1440" w:header="720" w:footer="720" w:gutter="0"/>
          <w:cols w:space="720"/>
          <w:docGrid w:linePitch="360"/>
        </w:sectPr>
      </w:pPr>
      <w:r>
        <w:rPr>
          <w:rFonts w:asciiTheme="minorHAnsi" w:hAnsiTheme="minorHAnsi" w:cstheme="minorHAnsi"/>
          <w:sz w:val="22"/>
          <w:szCs w:val="22"/>
        </w:rPr>
        <w:t>Appropriations committees in both chambers will now begin reviewing agency budgets in detail.  Lawmakers are scheduled to adjourn the spring session on May</w:t>
      </w:r>
      <w:r w:rsidR="00344BE7">
        <w:rPr>
          <w:rFonts w:asciiTheme="minorHAnsi" w:hAnsiTheme="minorHAnsi" w:cstheme="minorHAnsi"/>
          <w:sz w:val="22"/>
          <w:szCs w:val="22"/>
        </w:rPr>
        <w:t xml:space="preserve"> </w:t>
      </w:r>
      <w:r>
        <w:rPr>
          <w:rFonts w:asciiTheme="minorHAnsi" w:hAnsiTheme="minorHAnsi" w:cstheme="minorHAnsi"/>
          <w:sz w:val="22"/>
          <w:szCs w:val="22"/>
        </w:rPr>
        <w:t>31st; the new budget year begins July 1</w:t>
      </w:r>
      <w:r w:rsidRPr="0030030E">
        <w:rPr>
          <w:rFonts w:asciiTheme="minorHAnsi" w:hAnsiTheme="minorHAnsi" w:cstheme="minorHAnsi"/>
          <w:sz w:val="22"/>
          <w:szCs w:val="22"/>
          <w:vertAlign w:val="superscript"/>
        </w:rPr>
        <w:t>st</w:t>
      </w:r>
      <w:r w:rsidR="00344BE7">
        <w:rPr>
          <w:rFonts w:asciiTheme="minorHAnsi" w:hAnsiTheme="minorHAnsi" w:cstheme="minorHAnsi"/>
          <w:sz w:val="22"/>
          <w:szCs w:val="22"/>
        </w:rPr>
        <w:t>.</w:t>
      </w:r>
    </w:p>
    <w:p w14:paraId="72F63437" w14:textId="561DA7C7" w:rsidR="005A43CD" w:rsidRPr="00344BE7" w:rsidRDefault="005A43CD">
      <w:pPr>
        <w:rPr>
          <w:rFonts w:cstheme="minorHAnsi"/>
          <w:caps/>
        </w:rPr>
        <w:sectPr w:rsidR="005A43CD" w:rsidRPr="00344BE7" w:rsidSect="005A43CD">
          <w:type w:val="continuous"/>
          <w:pgSz w:w="12240" w:h="15840"/>
          <w:pgMar w:top="1440" w:right="1440" w:bottom="1440" w:left="1440" w:header="720" w:footer="720" w:gutter="0"/>
          <w:cols w:num="2" w:space="720"/>
          <w:docGrid w:linePitch="360"/>
        </w:sectPr>
      </w:pPr>
    </w:p>
    <w:p w14:paraId="58F1EEC9" w14:textId="4101891F" w:rsidR="00095CFA" w:rsidRPr="006C5178" w:rsidRDefault="006C5178">
      <w:pPr>
        <w:rPr>
          <w:rFonts w:cstheme="minorHAnsi"/>
          <w:b/>
          <w:bCs/>
          <w:caps/>
          <w:sz w:val="28"/>
          <w:szCs w:val="28"/>
        </w:rPr>
      </w:pPr>
      <w:r w:rsidRPr="006C5178">
        <w:rPr>
          <w:rFonts w:cstheme="minorHAnsi"/>
          <w:b/>
          <w:bCs/>
          <w:caps/>
          <w:sz w:val="28"/>
          <w:szCs w:val="28"/>
        </w:rPr>
        <w:t>101</w:t>
      </w:r>
      <w:r w:rsidRPr="006C5178">
        <w:rPr>
          <w:rFonts w:cstheme="minorHAnsi"/>
          <w:b/>
          <w:bCs/>
          <w:caps/>
          <w:sz w:val="28"/>
          <w:szCs w:val="28"/>
          <w:vertAlign w:val="superscript"/>
        </w:rPr>
        <w:t>st</w:t>
      </w:r>
      <w:r w:rsidRPr="006C5178">
        <w:rPr>
          <w:rFonts w:cstheme="minorHAnsi"/>
          <w:b/>
          <w:bCs/>
          <w:caps/>
          <w:sz w:val="28"/>
          <w:szCs w:val="28"/>
        </w:rPr>
        <w:t xml:space="preserve"> General Assembly:</w:t>
      </w:r>
    </w:p>
    <w:p w14:paraId="4DAA3205" w14:textId="0A6628D8" w:rsidR="006C5178" w:rsidRDefault="00F93BE5">
      <w:r w:rsidRPr="00344BE7">
        <w:t xml:space="preserve">House Republican Leader Jim Durkin and first-term Democrat Representative Anne </w:t>
      </w:r>
      <w:proofErr w:type="spellStart"/>
      <w:r w:rsidRPr="00344BE7">
        <w:t>Stava</w:t>
      </w:r>
      <w:proofErr w:type="spellEnd"/>
      <w:r w:rsidRPr="00344BE7">
        <w:t xml:space="preserve">-Murray both challenged the qualifications of Representative Eva Dina Delgado who was appointed to replace former Representative Luis Arroyo.  Representative Chris Welch will chair the Qualifications Challenge Committee.  The committee’s first hearing is </w:t>
      </w:r>
      <w:r w:rsidR="005A43CD" w:rsidRPr="00344BE7">
        <w:t>scheduled</w:t>
      </w:r>
      <w:r w:rsidRPr="00344BE7">
        <w:t xml:space="preserve"> for Feb. 25</w:t>
      </w:r>
      <w:r w:rsidRPr="00344BE7">
        <w:rPr>
          <w:vertAlign w:val="superscript"/>
        </w:rPr>
        <w:t>th</w:t>
      </w:r>
      <w:r w:rsidRPr="00344BE7">
        <w:t xml:space="preserve"> at 10</w:t>
      </w:r>
      <w:r w:rsidR="00761084" w:rsidRPr="00344BE7">
        <w:t xml:space="preserve"> </w:t>
      </w:r>
      <w:r w:rsidRPr="00344BE7">
        <w:t>am in room 114 of the Capitol.</w:t>
      </w:r>
    </w:p>
    <w:p w14:paraId="5E433A73" w14:textId="07286AC9" w:rsidR="00745464" w:rsidRDefault="00745464" w:rsidP="00745464">
      <w:r>
        <w:t>For those of you who did not catch the e-Weekly this week, IIA of IL and</w:t>
      </w:r>
      <w:r>
        <w:t xml:space="preserve"> the Coalition of Agents and Brokers have introduced four bills this year on behalf of our members and those we insure. </w:t>
      </w:r>
      <w:hyperlink r:id="rId6" w:history="1">
        <w:r w:rsidRPr="00D800E6">
          <w:rPr>
            <w:rStyle w:val="Hyperlink"/>
          </w:rPr>
          <w:t>SB 3263</w:t>
        </w:r>
      </w:hyperlink>
      <w:r>
        <w:t>, sponsored by Senator Bill Cunningham, requires insurance companies, in the event of total loss, to pay taxes, title, and transfer fees on a replacement vehicle for both first and third-party auto claims. Simply put, the legislation attempts to make the insured “whole”. Currently, insurance companies are only required to pay the taxes and fees on first-party auto claims.</w:t>
      </w:r>
    </w:p>
    <w:p w14:paraId="54264104" w14:textId="77777777" w:rsidR="00745464" w:rsidRDefault="00745464" w:rsidP="00745464">
      <w:r>
        <w:t xml:space="preserve">The second bill, </w:t>
      </w:r>
      <w:hyperlink r:id="rId7" w:history="1">
        <w:r w:rsidRPr="00D800E6">
          <w:rPr>
            <w:rStyle w:val="Hyperlink"/>
          </w:rPr>
          <w:t>SB 3714</w:t>
        </w:r>
      </w:hyperlink>
      <w:r>
        <w:t>, sponsored by the Senator Napoleon Harris III, provides essential consumer protections for life insurance policyholders. First, it allows policyholders to identify a secondary addressee, if designated, to receive notices of cancellation or lapse. The legislation also allows for a written second notice of impending lapse to both the policyholder and the agent of record. The intent of the legislation is to provide additional opportunities to the insured from preventing a lapse or cancellation of their life insurance.</w:t>
      </w:r>
    </w:p>
    <w:p w14:paraId="5A991E3A" w14:textId="77777777" w:rsidR="00745464" w:rsidRDefault="00745464" w:rsidP="00745464">
      <w:hyperlink r:id="rId8" w:history="1">
        <w:r w:rsidRPr="00BD37D0">
          <w:rPr>
            <w:rStyle w:val="Hyperlink"/>
          </w:rPr>
          <w:t>HB 4875</w:t>
        </w:r>
      </w:hyperlink>
      <w:r>
        <w:t xml:space="preserve">, sponsored by Representative Thaddeus Jones, the intent of the legislation is aimed at providing insurers notice that a policyholder has engaged with a public adjuster and redefining when the consumer cancellation period begins. The legislation provides that the consumer cancellation period begins when the insurance company receives the written contract between the public adjuster and the </w:t>
      </w:r>
      <w:r>
        <w:lastRenderedPageBreak/>
        <w:t>insured. This allows an insurance company the opportunity to contact the insured within 5 business days and notify them of what they might be getting into before the cancellation period expires.</w:t>
      </w:r>
    </w:p>
    <w:p w14:paraId="3F2986DD" w14:textId="77777777" w:rsidR="00745464" w:rsidRDefault="00745464" w:rsidP="00745464">
      <w:r>
        <w:t xml:space="preserve">Lastly, </w:t>
      </w:r>
      <w:hyperlink r:id="rId9" w:history="1">
        <w:r w:rsidRPr="000B10E9">
          <w:rPr>
            <w:rStyle w:val="Hyperlink"/>
          </w:rPr>
          <w:t>SB 3783</w:t>
        </w:r>
      </w:hyperlink>
      <w:r>
        <w:t xml:space="preserve"> sponsored by Senator Mike Hastings makes five substantive changes and a number of technical changes to the Surplus Lines Article of the Illinois Insurance Code. The bill makes several changes that are needed to keep up with the changing marketplace, to provide regulatory clarity for issues not currently addressed in the law, and to eliminate out-of-date wording and requirements.  The most significant substantive change is eliminating declinations for commercial wholesale transactions.</w:t>
      </w:r>
    </w:p>
    <w:p w14:paraId="0C39A0D7" w14:textId="59D367D2" w:rsidR="00745464" w:rsidRDefault="000D3668">
      <w:r>
        <w:t xml:space="preserve">Phil, Brett </w:t>
      </w:r>
      <w:proofErr w:type="spellStart"/>
      <w:r>
        <w:t>Gerger</w:t>
      </w:r>
      <w:proofErr w:type="spellEnd"/>
      <w:r>
        <w:t xml:space="preserve">, David </w:t>
      </w:r>
      <w:proofErr w:type="spellStart"/>
      <w:r>
        <w:t>Ocasek</w:t>
      </w:r>
      <w:proofErr w:type="spellEnd"/>
      <w:r>
        <w:t xml:space="preserve">, and I met with Kevin Martin and some of his members with the Illinois Insurance Association to discuss these bills and how we can improve them. We also met with the Department of Insurance to go over our legislative and regulatory agenda as well as theirs. Both meetings went very </w:t>
      </w:r>
      <w:proofErr w:type="gramStart"/>
      <w:r>
        <w:t>well</w:t>
      </w:r>
      <w:proofErr w:type="gramEnd"/>
      <w:r>
        <w:t xml:space="preserve"> and we look forward to moving our agenda forward.</w:t>
      </w:r>
    </w:p>
    <w:p w14:paraId="1E42D302" w14:textId="6B550675" w:rsidR="000D3668" w:rsidRPr="00344BE7" w:rsidRDefault="000D3668">
      <w:r>
        <w:t xml:space="preserve">In addition, we hosted a conference call with Laura </w:t>
      </w:r>
      <w:proofErr w:type="spellStart"/>
      <w:r>
        <w:t>Minzer</w:t>
      </w:r>
      <w:proofErr w:type="spellEnd"/>
      <w:r>
        <w:t xml:space="preserve"> (President, Illinois Life and Health Insurance Council) and Karen </w:t>
      </w:r>
      <w:proofErr w:type="spellStart"/>
      <w:r>
        <w:t>Melchert</w:t>
      </w:r>
      <w:proofErr w:type="spellEnd"/>
      <w:r>
        <w:t xml:space="preserve"> (The American Council of Life Insurers) to discuss SB 3714. </w:t>
      </w:r>
      <w:r w:rsidR="00315092">
        <w:t xml:space="preserve">This was another great call and hope we can have industry support on all of our legislation. </w:t>
      </w:r>
      <w:bookmarkStart w:id="0" w:name="_GoBack"/>
      <w:bookmarkEnd w:id="0"/>
    </w:p>
    <w:p w14:paraId="650CC20B" w14:textId="14CC10EA" w:rsidR="006C5178" w:rsidRPr="006C5178" w:rsidRDefault="006C5178">
      <w:pPr>
        <w:rPr>
          <w:rFonts w:cstheme="minorHAnsi"/>
          <w:b/>
          <w:bCs/>
          <w:caps/>
          <w:sz w:val="28"/>
          <w:szCs w:val="28"/>
        </w:rPr>
      </w:pPr>
      <w:r w:rsidRPr="006C5178">
        <w:rPr>
          <w:rFonts w:cstheme="minorHAnsi"/>
          <w:b/>
          <w:bCs/>
          <w:caps/>
          <w:sz w:val="28"/>
          <w:szCs w:val="28"/>
        </w:rPr>
        <w:t>Coming Up:</w:t>
      </w:r>
    </w:p>
    <w:p w14:paraId="73B19E99" w14:textId="0208891D" w:rsidR="006C5178" w:rsidRDefault="006C5178">
      <w:pPr>
        <w:rPr>
          <w:rFonts w:cstheme="minorHAnsi"/>
        </w:rPr>
      </w:pPr>
      <w:r>
        <w:rPr>
          <w:rFonts w:eastAsia="Times New Roman" w:cstheme="minorHAnsi"/>
        </w:rPr>
        <w:t xml:space="preserve">Both chambers stand adjourned until </w:t>
      </w:r>
      <w:r w:rsidRPr="005A43CD">
        <w:rPr>
          <w:rFonts w:eastAsia="Times New Roman" w:cstheme="minorHAnsi"/>
          <w:b/>
          <w:bCs/>
        </w:rPr>
        <w:t xml:space="preserve">Tuesday, </w:t>
      </w:r>
      <w:r w:rsidR="005A43CD" w:rsidRPr="005A43CD">
        <w:rPr>
          <w:rFonts w:eastAsia="Times New Roman" w:cstheme="minorHAnsi"/>
          <w:b/>
          <w:bCs/>
        </w:rPr>
        <w:t>Feb.</w:t>
      </w:r>
      <w:r w:rsidRPr="005A43CD">
        <w:rPr>
          <w:rFonts w:eastAsia="Times New Roman" w:cstheme="minorHAnsi"/>
          <w:b/>
          <w:bCs/>
        </w:rPr>
        <w:t xml:space="preserve"> 25</w:t>
      </w:r>
      <w:r w:rsidRPr="005A43CD">
        <w:rPr>
          <w:rFonts w:eastAsia="Times New Roman" w:cstheme="minorHAnsi"/>
          <w:b/>
          <w:bCs/>
          <w:vertAlign w:val="superscript"/>
        </w:rPr>
        <w:t>th</w:t>
      </w:r>
      <w:r>
        <w:rPr>
          <w:rFonts w:eastAsia="Times New Roman" w:cstheme="minorHAnsi"/>
        </w:rPr>
        <w:t xml:space="preserve"> at noon.  </w:t>
      </w:r>
      <w:r w:rsidR="00344BE7">
        <w:rPr>
          <w:rFonts w:eastAsia="Times New Roman" w:cstheme="minorHAnsi"/>
        </w:rPr>
        <w:t xml:space="preserve">The House and Senate Insurance Committees both canceled their scheduled hearings this week. They are expected to begin hearing bills next week. </w:t>
      </w:r>
      <w:r>
        <w:rPr>
          <w:rFonts w:eastAsia="Times New Roman" w:cstheme="minorHAnsi"/>
        </w:rPr>
        <w:t xml:space="preserve">The General Assembly is scheduled to be in session for the next two weeks, primarily considering legislation at the committee level.  </w:t>
      </w:r>
    </w:p>
    <w:p w14:paraId="2DA70608" w14:textId="77777777" w:rsidR="006C5178" w:rsidRPr="006C5178" w:rsidRDefault="006C5178" w:rsidP="006C5178">
      <w:pPr>
        <w:pStyle w:val="NoSpacing"/>
        <w:rPr>
          <w:b/>
          <w:bCs/>
          <w:u w:val="single"/>
        </w:rPr>
      </w:pPr>
      <w:r w:rsidRPr="006C5178">
        <w:rPr>
          <w:b/>
          <w:bCs/>
          <w:u w:val="single"/>
        </w:rPr>
        <w:t>Key 2020 Session Dates:</w:t>
      </w:r>
    </w:p>
    <w:p w14:paraId="47107A5D" w14:textId="1C80CF24" w:rsidR="006C5178" w:rsidRDefault="006C5178" w:rsidP="006C5178">
      <w:pPr>
        <w:pStyle w:val="NoSpacing"/>
      </w:pPr>
      <w:r w:rsidRPr="00034671">
        <w:t>March 17</w:t>
      </w:r>
      <w:r w:rsidRPr="00034671">
        <w:rPr>
          <w:vertAlign w:val="superscript"/>
        </w:rPr>
        <w:t>th</w:t>
      </w:r>
      <w:r w:rsidRPr="00034671">
        <w:t>: Primary Election</w:t>
      </w:r>
    </w:p>
    <w:p w14:paraId="14975500" w14:textId="51236C76" w:rsidR="00344BE7" w:rsidRPr="00344BE7" w:rsidRDefault="00344BE7" w:rsidP="006C5178">
      <w:pPr>
        <w:pStyle w:val="NoSpacing"/>
        <w:rPr>
          <w:b/>
          <w:bCs/>
        </w:rPr>
      </w:pPr>
      <w:r w:rsidRPr="00344BE7">
        <w:rPr>
          <w:b/>
          <w:bCs/>
          <w:highlight w:val="yellow"/>
        </w:rPr>
        <w:t>March 18</w:t>
      </w:r>
      <w:r w:rsidRPr="00344BE7">
        <w:rPr>
          <w:b/>
          <w:bCs/>
          <w:highlight w:val="yellow"/>
          <w:vertAlign w:val="superscript"/>
        </w:rPr>
        <w:t>th</w:t>
      </w:r>
      <w:r w:rsidRPr="00344BE7">
        <w:rPr>
          <w:b/>
          <w:bCs/>
          <w:highlight w:val="yellow"/>
        </w:rPr>
        <w:t>: Insurance Industry Legislative Day</w:t>
      </w:r>
    </w:p>
    <w:p w14:paraId="5E330F8F" w14:textId="77777777" w:rsidR="006C5178" w:rsidRPr="00034671" w:rsidRDefault="006C5178" w:rsidP="006C5178">
      <w:pPr>
        <w:pStyle w:val="NoSpacing"/>
      </w:pPr>
      <w:r w:rsidRPr="00034671">
        <w:t>March 27</w:t>
      </w:r>
      <w:r w:rsidRPr="00034671">
        <w:rPr>
          <w:vertAlign w:val="superscript"/>
        </w:rPr>
        <w:t>th</w:t>
      </w:r>
      <w:r w:rsidRPr="00034671">
        <w:t>:  Committee deadline for substantive bills</w:t>
      </w:r>
    </w:p>
    <w:p w14:paraId="67E8CF9E" w14:textId="77777777" w:rsidR="006C5178" w:rsidRPr="00034671" w:rsidRDefault="006C5178" w:rsidP="006C5178">
      <w:pPr>
        <w:pStyle w:val="NoSpacing"/>
      </w:pPr>
      <w:r w:rsidRPr="00034671">
        <w:t>April 6</w:t>
      </w:r>
      <w:r w:rsidRPr="00034671">
        <w:rPr>
          <w:vertAlign w:val="superscript"/>
        </w:rPr>
        <w:t>th</w:t>
      </w:r>
      <w:r w:rsidRPr="00034671">
        <w:t xml:space="preserve"> – 17</w:t>
      </w:r>
      <w:r w:rsidRPr="00034671">
        <w:rPr>
          <w:vertAlign w:val="superscript"/>
        </w:rPr>
        <w:t>th</w:t>
      </w:r>
      <w:r w:rsidRPr="00034671">
        <w:t>:  Spring Break</w:t>
      </w:r>
    </w:p>
    <w:p w14:paraId="6971C51A" w14:textId="77777777" w:rsidR="006C5178" w:rsidRPr="00034671" w:rsidRDefault="006C5178" w:rsidP="006C5178">
      <w:pPr>
        <w:pStyle w:val="NoSpacing"/>
      </w:pPr>
      <w:r w:rsidRPr="00034671">
        <w:t>April 24</w:t>
      </w:r>
      <w:r w:rsidRPr="00034671">
        <w:rPr>
          <w:vertAlign w:val="superscript"/>
        </w:rPr>
        <w:t>th</w:t>
      </w:r>
      <w:r w:rsidRPr="00034671">
        <w:t>:  3</w:t>
      </w:r>
      <w:r w:rsidRPr="00034671">
        <w:rPr>
          <w:vertAlign w:val="superscript"/>
        </w:rPr>
        <w:t>rd</w:t>
      </w:r>
      <w:r w:rsidRPr="00034671">
        <w:t xml:space="preserve"> Reading deadline for substantive bills</w:t>
      </w:r>
    </w:p>
    <w:p w14:paraId="4CA35514" w14:textId="77777777" w:rsidR="006C5178" w:rsidRPr="00034671" w:rsidRDefault="006C5178" w:rsidP="006C5178">
      <w:pPr>
        <w:pStyle w:val="NoSpacing"/>
      </w:pPr>
      <w:r w:rsidRPr="00034671">
        <w:t>May 15</w:t>
      </w:r>
      <w:r w:rsidRPr="00034671">
        <w:rPr>
          <w:vertAlign w:val="superscript"/>
        </w:rPr>
        <w:t>th</w:t>
      </w:r>
      <w:r w:rsidRPr="00034671">
        <w:t>:  Committee deadline for substantive bills in second chamber</w:t>
      </w:r>
    </w:p>
    <w:p w14:paraId="3103C9EA" w14:textId="77777777" w:rsidR="006C5178" w:rsidRDefault="006C5178" w:rsidP="006C5178">
      <w:pPr>
        <w:pStyle w:val="NoSpacing"/>
      </w:pPr>
      <w:r w:rsidRPr="00034671">
        <w:t>May 22</w:t>
      </w:r>
      <w:r w:rsidRPr="00034671">
        <w:rPr>
          <w:vertAlign w:val="superscript"/>
        </w:rPr>
        <w:t>nd</w:t>
      </w:r>
      <w:r w:rsidRPr="00034671">
        <w:t>:  3</w:t>
      </w:r>
      <w:r w:rsidRPr="00034671">
        <w:rPr>
          <w:vertAlign w:val="superscript"/>
        </w:rPr>
        <w:t>rd</w:t>
      </w:r>
      <w:r w:rsidRPr="00034671">
        <w:t xml:space="preserve"> Reading deadline for substantive bills in second chamber </w:t>
      </w:r>
    </w:p>
    <w:p w14:paraId="7965F431" w14:textId="77777777" w:rsidR="006C5178" w:rsidRPr="00AB1B36" w:rsidRDefault="006C5178" w:rsidP="006C5178">
      <w:pPr>
        <w:pStyle w:val="NoSpacing"/>
      </w:pPr>
      <w:r w:rsidRPr="00034671">
        <w:t>May 31</w:t>
      </w:r>
      <w:r w:rsidRPr="00034671">
        <w:rPr>
          <w:vertAlign w:val="superscript"/>
        </w:rPr>
        <w:t>st</w:t>
      </w:r>
      <w:r w:rsidRPr="00034671">
        <w:t>:  Adjournment</w:t>
      </w:r>
    </w:p>
    <w:p w14:paraId="48CE4E84" w14:textId="3F3B4AD3" w:rsidR="006C5178" w:rsidRDefault="006C5178">
      <w:pPr>
        <w:rPr>
          <w:rFonts w:cstheme="minorHAnsi"/>
        </w:rPr>
      </w:pPr>
    </w:p>
    <w:p w14:paraId="2963D7A0" w14:textId="4CF2D748" w:rsidR="002E0692" w:rsidRPr="00EF40E2" w:rsidRDefault="002E0692" w:rsidP="008E5BDD">
      <w:pPr>
        <w:rPr>
          <w:rFonts w:cstheme="minorHAnsi"/>
        </w:rPr>
      </w:pPr>
    </w:p>
    <w:sectPr w:rsidR="002E0692" w:rsidRPr="00EF40E2" w:rsidSect="005A43C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593B9A"/>
    <w:multiLevelType w:val="hybridMultilevel"/>
    <w:tmpl w:val="7C7E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CA"/>
    <w:rsid w:val="00095CFA"/>
    <w:rsid w:val="000A3889"/>
    <w:rsid w:val="000D3668"/>
    <w:rsid w:val="00141D1D"/>
    <w:rsid w:val="001F05EF"/>
    <w:rsid w:val="002772CD"/>
    <w:rsid w:val="002E0692"/>
    <w:rsid w:val="002E6703"/>
    <w:rsid w:val="0030030E"/>
    <w:rsid w:val="00315092"/>
    <w:rsid w:val="00344BE7"/>
    <w:rsid w:val="00581538"/>
    <w:rsid w:val="005A0FCA"/>
    <w:rsid w:val="005A43CD"/>
    <w:rsid w:val="005E5239"/>
    <w:rsid w:val="005F6355"/>
    <w:rsid w:val="00687248"/>
    <w:rsid w:val="006C5178"/>
    <w:rsid w:val="00745464"/>
    <w:rsid w:val="00761084"/>
    <w:rsid w:val="0079562B"/>
    <w:rsid w:val="007E243A"/>
    <w:rsid w:val="007E4863"/>
    <w:rsid w:val="008C1890"/>
    <w:rsid w:val="008E5BDD"/>
    <w:rsid w:val="009A7D69"/>
    <w:rsid w:val="00A22C5D"/>
    <w:rsid w:val="00B72313"/>
    <w:rsid w:val="00D23CD5"/>
    <w:rsid w:val="00E5731F"/>
    <w:rsid w:val="00EF40E2"/>
    <w:rsid w:val="00F92248"/>
    <w:rsid w:val="00F93BE5"/>
    <w:rsid w:val="00FF2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A5AC"/>
  <w15:chartTrackingRefBased/>
  <w15:docId w15:val="{4D5A0225-32D5-4088-88CC-C9E90641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0F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0FCA"/>
    <w:rPr>
      <w:b/>
      <w:bCs/>
    </w:rPr>
  </w:style>
  <w:style w:type="character" w:styleId="Hyperlink">
    <w:name w:val="Hyperlink"/>
    <w:basedOn w:val="DefaultParagraphFont"/>
    <w:uiPriority w:val="99"/>
    <w:semiHidden/>
    <w:unhideWhenUsed/>
    <w:rsid w:val="005A0FCA"/>
    <w:rPr>
      <w:color w:val="0000FF"/>
      <w:u w:val="single"/>
    </w:rPr>
  </w:style>
  <w:style w:type="paragraph" w:styleId="ListParagraph">
    <w:name w:val="List Paragraph"/>
    <w:basedOn w:val="Normal"/>
    <w:uiPriority w:val="34"/>
    <w:qFormat/>
    <w:rsid w:val="006C5178"/>
    <w:pPr>
      <w:ind w:left="720"/>
      <w:contextualSpacing/>
    </w:pPr>
  </w:style>
  <w:style w:type="paragraph" w:styleId="NoSpacing">
    <w:name w:val="No Spacing"/>
    <w:uiPriority w:val="1"/>
    <w:qFormat/>
    <w:rsid w:val="006C51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509081">
      <w:bodyDiv w:val="1"/>
      <w:marLeft w:val="0"/>
      <w:marRight w:val="0"/>
      <w:marTop w:val="0"/>
      <w:marBottom w:val="0"/>
      <w:divBdr>
        <w:top w:val="none" w:sz="0" w:space="0" w:color="auto"/>
        <w:left w:val="none" w:sz="0" w:space="0" w:color="auto"/>
        <w:bottom w:val="none" w:sz="0" w:space="0" w:color="auto"/>
        <w:right w:val="none" w:sz="0" w:space="0" w:color="auto"/>
      </w:divBdr>
      <w:divsChild>
        <w:div w:id="1363357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lga.gov/legislation/fulltext.asp?DocName=&amp;SessionId=108&amp;GA=101&amp;DocTypeId=HB&amp;DocNum=4875&amp;GAID=15&amp;LegID=124956&amp;SpecSess=&amp;Session=" TargetMode="External"/><Relationship Id="rId3" Type="http://schemas.openxmlformats.org/officeDocument/2006/relationships/settings" Target="settings.xml"/><Relationship Id="rId7" Type="http://schemas.openxmlformats.org/officeDocument/2006/relationships/hyperlink" Target="http://ilga.gov/legislation/fulltext.asp?DocName=&amp;SessionId=108&amp;GA=101&amp;DocTypeId=SB&amp;DocNum=3714&amp;GAID=15&amp;LegID=125718&amp;SpecSess=&amp;Se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lga.gov/legislation/fulltext.asp?DocName=&amp;SessionId=108&amp;GA=101&amp;DocTypeId=SB&amp;DocNum=3263&amp;GAID=15&amp;LegID=124776&amp;SpecSess=&amp;Session=" TargetMode="External"/><Relationship Id="rId11" Type="http://schemas.openxmlformats.org/officeDocument/2006/relationships/theme" Target="theme/theme1.xml"/><Relationship Id="rId5" Type="http://schemas.openxmlformats.org/officeDocument/2006/relationships/hyperlink" Target="https://www2.illinois.gov/IISNews/21157-Governing_Efficiently_-_More_Than_$225M_in_FY21_Savings.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lga.gov/legislation/fulltext.asp?DocName=&amp;SessionId=108&amp;GA=101&amp;DocTypeId=SB&amp;DocNum=3783&amp;GAID=15&amp;LegID=125848&amp;SpecSess=&amp;S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6</cp:revision>
  <dcterms:created xsi:type="dcterms:W3CDTF">2020-02-21T16:34:00Z</dcterms:created>
  <dcterms:modified xsi:type="dcterms:W3CDTF">2020-02-21T17:01:00Z</dcterms:modified>
</cp:coreProperties>
</file>