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011A77" w14:textId="77777777" w:rsidR="00C122C2" w:rsidRPr="00C122C2" w:rsidRDefault="00723B93" w:rsidP="00C122C2">
      <w:pPr>
        <w:pStyle w:val="NoSpacing"/>
        <w:rPr>
          <w:b/>
          <w:bCs/>
          <w:sz w:val="28"/>
          <w:szCs w:val="28"/>
        </w:rPr>
      </w:pPr>
      <w:r w:rsidRPr="00C122C2">
        <w:rPr>
          <w:b/>
          <w:bCs/>
          <w:sz w:val="28"/>
          <w:szCs w:val="28"/>
        </w:rPr>
        <w:t>GOVERNOR’S HIGHLIGHTS:</w:t>
      </w:r>
    </w:p>
    <w:p w14:paraId="0451A632" w14:textId="021984A6" w:rsidR="000E6B8C" w:rsidRDefault="00723B93" w:rsidP="00C122C2">
      <w:pPr>
        <w:pStyle w:val="NoSpacing"/>
      </w:pPr>
      <w:r>
        <w:t>During January</w:t>
      </w:r>
      <w:r w:rsidR="00EC7B97">
        <w:t>,</w:t>
      </w:r>
      <w:r w:rsidR="00594865">
        <w:t xml:space="preserve"> </w:t>
      </w:r>
      <w:r w:rsidRPr="00594865">
        <w:rPr>
          <w:b/>
          <w:bCs/>
        </w:rPr>
        <w:t>adult</w:t>
      </w:r>
      <w:r w:rsidR="000E6B8C" w:rsidRPr="00594865">
        <w:rPr>
          <w:b/>
          <w:bCs/>
        </w:rPr>
        <w:t>-use cannabis sales</w:t>
      </w:r>
      <w:r w:rsidR="000E6B8C" w:rsidRPr="000E6B8C">
        <w:t xml:space="preserve"> generated </w:t>
      </w:r>
      <w:r w:rsidR="000E6B8C" w:rsidRPr="00594865">
        <w:rPr>
          <w:b/>
          <w:bCs/>
        </w:rPr>
        <w:t>$7</w:t>
      </w:r>
      <w:r w:rsidR="00594865">
        <w:rPr>
          <w:b/>
          <w:bCs/>
        </w:rPr>
        <w:t>.33 million</w:t>
      </w:r>
      <w:r w:rsidR="000E6B8C" w:rsidRPr="000E6B8C">
        <w:t xml:space="preserve"> in cannabis tax revenue</w:t>
      </w:r>
      <w:r>
        <w:t>. An</w:t>
      </w:r>
      <w:r w:rsidR="000E6B8C" w:rsidRPr="000E6B8C">
        <w:t xml:space="preserve"> additional </w:t>
      </w:r>
      <w:r w:rsidR="000E6B8C" w:rsidRPr="00594865">
        <w:rPr>
          <w:b/>
          <w:bCs/>
        </w:rPr>
        <w:t>$3</w:t>
      </w:r>
      <w:r w:rsidR="00594865" w:rsidRPr="00594865">
        <w:rPr>
          <w:b/>
          <w:bCs/>
        </w:rPr>
        <w:t>.</w:t>
      </w:r>
      <w:r w:rsidR="000E6B8C" w:rsidRPr="00594865">
        <w:rPr>
          <w:b/>
          <w:bCs/>
        </w:rPr>
        <w:t>1</w:t>
      </w:r>
      <w:r w:rsidR="00594865" w:rsidRPr="00594865">
        <w:rPr>
          <w:b/>
          <w:bCs/>
        </w:rPr>
        <w:t>5 million</w:t>
      </w:r>
      <w:r w:rsidR="00594865">
        <w:t xml:space="preserve"> </w:t>
      </w:r>
      <w:r>
        <w:t xml:space="preserve">was </w:t>
      </w:r>
      <w:r w:rsidR="000E6B8C" w:rsidRPr="000E6B8C">
        <w:t xml:space="preserve">generated in retail sales tax revenue. Governor Pritzker's </w:t>
      </w:r>
      <w:r>
        <w:t>FY 21 budget</w:t>
      </w:r>
      <w:r w:rsidR="000E6B8C" w:rsidRPr="000E6B8C">
        <w:t xml:space="preserve"> estimated the state would collect $28 million in cannabis tax revenue during the remainder of the fiscal year</w:t>
      </w:r>
      <w:r>
        <w:t xml:space="preserve"> which ends</w:t>
      </w:r>
      <w:r w:rsidR="000E6B8C" w:rsidRPr="000E6B8C">
        <w:t xml:space="preserve"> June 30, 2020. </w:t>
      </w:r>
    </w:p>
    <w:p w14:paraId="575383D4" w14:textId="49C6B9A7" w:rsidR="0066062C" w:rsidRPr="00227AD7" w:rsidRDefault="00771CF7" w:rsidP="00227AD7">
      <w:pPr>
        <w:pStyle w:val="NormalWeb"/>
        <w:rPr>
          <w:rFonts w:asciiTheme="minorHAnsi" w:hAnsiTheme="minorHAnsi" w:cstheme="minorHAnsi"/>
          <w:sz w:val="22"/>
          <w:szCs w:val="22"/>
        </w:rPr>
      </w:pPr>
      <w:r w:rsidRPr="00DD4D6F">
        <w:rPr>
          <w:rFonts w:asciiTheme="minorHAnsi" w:hAnsiTheme="minorHAnsi" w:cstheme="minorHAnsi"/>
          <w:sz w:val="22"/>
          <w:szCs w:val="22"/>
        </w:rPr>
        <w:t xml:space="preserve">The </w:t>
      </w:r>
      <w:r w:rsidRPr="00DD4D6F">
        <w:rPr>
          <w:rFonts w:asciiTheme="minorHAnsi" w:hAnsiTheme="minorHAnsi" w:cstheme="minorHAnsi"/>
          <w:b/>
          <w:bCs/>
          <w:sz w:val="22"/>
          <w:szCs w:val="22"/>
        </w:rPr>
        <w:t>Illinois Department of Commerce and Economic Opportunity</w:t>
      </w:r>
      <w:r w:rsidRPr="00DD4D6F">
        <w:rPr>
          <w:rFonts w:asciiTheme="minorHAnsi" w:hAnsiTheme="minorHAnsi" w:cstheme="minorHAnsi"/>
          <w:sz w:val="22"/>
          <w:szCs w:val="22"/>
        </w:rPr>
        <w:t xml:space="preserve"> announced a new initiative to support </w:t>
      </w:r>
      <w:r w:rsidRPr="00DD4D6F">
        <w:rPr>
          <w:rFonts w:asciiTheme="minorHAnsi" w:hAnsiTheme="minorHAnsi" w:cstheme="minorHAnsi"/>
          <w:b/>
          <w:bCs/>
          <w:sz w:val="22"/>
          <w:szCs w:val="22"/>
        </w:rPr>
        <w:t>social equity applicants</w:t>
      </w:r>
      <w:r w:rsidRPr="00DD4D6F">
        <w:rPr>
          <w:rFonts w:asciiTheme="minorHAnsi" w:hAnsiTheme="minorHAnsi" w:cstheme="minorHAnsi"/>
          <w:sz w:val="22"/>
          <w:szCs w:val="22"/>
        </w:rPr>
        <w:t xml:space="preserve"> seeking to enter the cannabis industry. Following a competitive selection process, DCEO announced it will provide three partner organizations $500,000 to offer technical assistance – in the form of mentoring and coaching on important topics such as business planning, finances, compliance, and industry best practices – across the state:  </w:t>
      </w:r>
      <w:r w:rsidRPr="00DD4D6F">
        <w:rPr>
          <w:rFonts w:asciiTheme="minorHAnsi" w:hAnsiTheme="minorHAnsi" w:cstheme="minorHAnsi"/>
          <w:b/>
          <w:bCs/>
          <w:sz w:val="22"/>
          <w:szCs w:val="22"/>
        </w:rPr>
        <w:t>Teague International Corporation</w:t>
      </w:r>
      <w:r w:rsidRPr="00DD4D6F">
        <w:rPr>
          <w:rFonts w:asciiTheme="minorHAnsi" w:hAnsiTheme="minorHAnsi" w:cstheme="minorHAnsi"/>
          <w:sz w:val="22"/>
          <w:szCs w:val="22"/>
        </w:rPr>
        <w:t xml:space="preserve">, </w:t>
      </w:r>
      <w:r w:rsidRPr="00DD4D6F">
        <w:rPr>
          <w:rFonts w:asciiTheme="minorHAnsi" w:hAnsiTheme="minorHAnsi" w:cstheme="minorHAnsi"/>
          <w:b/>
          <w:bCs/>
          <w:sz w:val="22"/>
          <w:szCs w:val="22"/>
        </w:rPr>
        <w:t>Chicago NORML</w:t>
      </w:r>
      <w:r w:rsidRPr="00DD4D6F">
        <w:rPr>
          <w:rFonts w:asciiTheme="minorHAnsi" w:hAnsiTheme="minorHAnsi" w:cstheme="minorHAnsi"/>
          <w:sz w:val="22"/>
          <w:szCs w:val="22"/>
        </w:rPr>
        <w:t xml:space="preserve"> and </w:t>
      </w:r>
      <w:r w:rsidRPr="00DD4D6F">
        <w:rPr>
          <w:rFonts w:asciiTheme="minorHAnsi" w:hAnsiTheme="minorHAnsi" w:cstheme="minorHAnsi"/>
          <w:b/>
          <w:bCs/>
          <w:sz w:val="22"/>
          <w:szCs w:val="22"/>
        </w:rPr>
        <w:t>Oakton Community College</w:t>
      </w:r>
      <w:r w:rsidRPr="00DD4D6F">
        <w:rPr>
          <w:rFonts w:asciiTheme="minorHAnsi" w:hAnsiTheme="minorHAnsi" w:cstheme="minorHAnsi"/>
          <w:sz w:val="22"/>
          <w:szCs w:val="22"/>
        </w:rPr>
        <w:t>. DCEO has also posted an application that allows social equity applicants for dispensary, infuser, craft grower, and transporter licenses to apply for low interest loans to support the costs of starting up and running a cannabis business.    </w:t>
      </w:r>
    </w:p>
    <w:p w14:paraId="79B9B8C2" w14:textId="77777777" w:rsidR="009C28E6" w:rsidRDefault="009C28E6" w:rsidP="0066062C">
      <w:pPr>
        <w:pStyle w:val="NoSpacing"/>
        <w:rPr>
          <w:b/>
          <w:bCs/>
          <w:sz w:val="28"/>
          <w:szCs w:val="28"/>
        </w:rPr>
      </w:pPr>
      <w:r>
        <w:rPr>
          <w:b/>
          <w:bCs/>
          <w:sz w:val="28"/>
          <w:szCs w:val="28"/>
        </w:rPr>
        <w:t>ATTORNEY GENERAL HIGHLIGHTS:</w:t>
      </w:r>
    </w:p>
    <w:p w14:paraId="2D27252B" w14:textId="1356A622" w:rsidR="009C28E6" w:rsidRDefault="009C28E6" w:rsidP="009C28E6">
      <w:r w:rsidRPr="009C28E6">
        <w:rPr>
          <w:b/>
          <w:bCs/>
        </w:rPr>
        <w:t>Attorney General Kwame Raoul</w:t>
      </w:r>
      <w:r w:rsidRPr="00B80318">
        <w:t xml:space="preserve"> </w:t>
      </w:r>
      <w:r>
        <w:t>led</w:t>
      </w:r>
      <w:r w:rsidRPr="00B80318">
        <w:t xml:space="preserve"> a bipartisan coalition of 27 attorneys general urging the Food and Drug Administration to strengthen guidance </w:t>
      </w:r>
      <w:r w:rsidR="00EC7B97">
        <w:t xml:space="preserve">on </w:t>
      </w:r>
      <w:r w:rsidRPr="00B80318">
        <w:t xml:space="preserve">how it will enforce regulations of </w:t>
      </w:r>
      <w:r w:rsidRPr="00C44F9B">
        <w:rPr>
          <w:b/>
          <w:bCs/>
        </w:rPr>
        <w:t>electronic cigarettes</w:t>
      </w:r>
      <w:r w:rsidRPr="00B80318">
        <w:t xml:space="preserve">. </w:t>
      </w:r>
      <w:r>
        <w:t xml:space="preserve"> </w:t>
      </w:r>
      <w:r w:rsidRPr="00B80318">
        <w:t xml:space="preserve">Raoul and the coalition are encouraging the FDA to expand and strengthen its enforcement guidance by including menthol flavors and products that are not cartridge based. Raoul and the coalition </w:t>
      </w:r>
      <w:r>
        <w:t>argue</w:t>
      </w:r>
      <w:r w:rsidRPr="00B80318">
        <w:t xml:space="preserve"> that the current guidance creates loopholes that manufacturers can exploit and will not help decrease e-cigarette usage among youth.</w:t>
      </w:r>
    </w:p>
    <w:p w14:paraId="7F3BEC75" w14:textId="67CD1102" w:rsidR="009C28E6" w:rsidRPr="009C28E6" w:rsidRDefault="00CB6E70" w:rsidP="00227AD7">
      <w:r w:rsidRPr="00B80318">
        <w:t>Joining Raoul in submitting the comments are the attorneys</w:t>
      </w:r>
      <w:r w:rsidR="00322398">
        <w:t>’</w:t>
      </w:r>
      <w:r w:rsidRPr="00B80318">
        <w:t xml:space="preserve"> general of Alaska, California, Colorado, Connecticut, Delaware, the District of Columbia, Hawaii, Maine, Maryland, Massachusetts, Nevada, New Mexico, New York, North Carolina, Oklahoma, Oregon, Pennsylvania, Puerto Rico, Rhode Island, Texas, Vermont, Virginia, Washington, and Wisconsin. </w:t>
      </w:r>
    </w:p>
    <w:p w14:paraId="115ECA5E" w14:textId="64F1D938" w:rsidR="0066062C" w:rsidRPr="00C122C2" w:rsidRDefault="00723B93" w:rsidP="0066062C">
      <w:pPr>
        <w:pStyle w:val="NoSpacing"/>
        <w:rPr>
          <w:b/>
          <w:bCs/>
          <w:sz w:val="28"/>
          <w:szCs w:val="28"/>
        </w:rPr>
      </w:pPr>
      <w:r w:rsidRPr="00C122C2">
        <w:rPr>
          <w:b/>
          <w:bCs/>
          <w:sz w:val="28"/>
          <w:szCs w:val="28"/>
        </w:rPr>
        <w:t>101</w:t>
      </w:r>
      <w:r w:rsidRPr="00C122C2">
        <w:rPr>
          <w:b/>
          <w:bCs/>
          <w:sz w:val="28"/>
          <w:szCs w:val="28"/>
          <w:vertAlign w:val="superscript"/>
        </w:rPr>
        <w:t>ST</w:t>
      </w:r>
      <w:r w:rsidRPr="00C122C2">
        <w:rPr>
          <w:b/>
          <w:bCs/>
          <w:sz w:val="28"/>
          <w:szCs w:val="28"/>
        </w:rPr>
        <w:t xml:space="preserve"> GENERAL ASSEMBLY:</w:t>
      </w:r>
    </w:p>
    <w:p w14:paraId="6511B822" w14:textId="7E302E47" w:rsidR="00C13FE6" w:rsidRDefault="00C13FE6" w:rsidP="0066062C">
      <w:pPr>
        <w:pStyle w:val="NoSpacing"/>
      </w:pPr>
      <w:r>
        <w:t xml:space="preserve">The </w:t>
      </w:r>
      <w:r w:rsidRPr="00954E7E">
        <w:rPr>
          <w:b/>
          <w:bCs/>
        </w:rPr>
        <w:t>House Transportation Vehicles and Safety Committee</w:t>
      </w:r>
      <w:r>
        <w:t xml:space="preserve"> unanimously passed legislation making various </w:t>
      </w:r>
      <w:r w:rsidR="00954E7E" w:rsidRPr="00954E7E">
        <w:rPr>
          <w:b/>
          <w:bCs/>
        </w:rPr>
        <w:t xml:space="preserve">ethical </w:t>
      </w:r>
      <w:r w:rsidR="00AD6B0B" w:rsidRPr="00954E7E">
        <w:rPr>
          <w:b/>
          <w:bCs/>
        </w:rPr>
        <w:t>reforms</w:t>
      </w:r>
      <w:r>
        <w:t xml:space="preserve"> to the use of </w:t>
      </w:r>
      <w:r w:rsidRPr="00954E7E">
        <w:rPr>
          <w:b/>
          <w:bCs/>
        </w:rPr>
        <w:t>red-light cameras</w:t>
      </w:r>
      <w:r>
        <w:t xml:space="preserve"> in communities throughout Illinois.  </w:t>
      </w:r>
      <w:hyperlink r:id="rId5" w:history="1">
        <w:r>
          <w:rPr>
            <w:rStyle w:val="Hyperlink"/>
          </w:rPr>
          <w:t>HB4617</w:t>
        </w:r>
      </w:hyperlink>
      <w:r>
        <w:t xml:space="preserve"> (West) limits campaign contributions from automated camera companies doing business with a local government; requires that local governments, not contractors, retain the control to issue citations for violations; requires posting of signage at intersections using automated camera enforcement; requires a study of the usage of automated enforcement systems; and enacts a 2</w:t>
      </w:r>
      <w:r w:rsidR="00EC7B97">
        <w:t xml:space="preserve"> </w:t>
      </w:r>
      <w:r>
        <w:t>year revolving door ban on public officials working for automated enforcement companies.  HB 4617 is now on 2</w:t>
      </w:r>
      <w:r w:rsidRPr="00C13FE6">
        <w:rPr>
          <w:vertAlign w:val="superscript"/>
        </w:rPr>
        <w:t>nd</w:t>
      </w:r>
      <w:r>
        <w:t xml:space="preserve"> Reading in the House.</w:t>
      </w:r>
    </w:p>
    <w:p w14:paraId="084C8FAC" w14:textId="7C307845" w:rsidR="00527394" w:rsidRDefault="00527394" w:rsidP="0066062C">
      <w:pPr>
        <w:pStyle w:val="NoSpacing"/>
      </w:pPr>
    </w:p>
    <w:p w14:paraId="6A82F782" w14:textId="3FCB281A" w:rsidR="00527394" w:rsidRDefault="00527394" w:rsidP="0066062C">
      <w:pPr>
        <w:pStyle w:val="NoSpacing"/>
      </w:pPr>
      <w:r>
        <w:t xml:space="preserve">The </w:t>
      </w:r>
      <w:r w:rsidRPr="00954E7E">
        <w:rPr>
          <w:b/>
          <w:bCs/>
        </w:rPr>
        <w:t>House passed</w:t>
      </w:r>
      <w:r w:rsidR="00E142E0">
        <w:t>, by a vote of 84-4-5,</w:t>
      </w:r>
      <w:r>
        <w:t xml:space="preserve"> </w:t>
      </w:r>
      <w:hyperlink r:id="rId6" w:history="1">
        <w:r>
          <w:rPr>
            <w:rStyle w:val="Hyperlink"/>
          </w:rPr>
          <w:t>HB322</w:t>
        </w:r>
      </w:hyperlink>
      <w:r>
        <w:t xml:space="preserve"> (McSweeney) which </w:t>
      </w:r>
      <w:r w:rsidRPr="00954E7E">
        <w:rPr>
          <w:b/>
          <w:bCs/>
        </w:rPr>
        <w:t xml:space="preserve">bans red-light cameras in </w:t>
      </w:r>
      <w:r w:rsidRPr="00954E7E">
        <w:rPr>
          <w:rStyle w:val="content"/>
          <w:b/>
          <w:bCs/>
        </w:rPr>
        <w:t>non-home rule units</w:t>
      </w:r>
      <w:r>
        <w:rPr>
          <w:rStyle w:val="content"/>
        </w:rPr>
        <w:t xml:space="preserve"> of local government</w:t>
      </w:r>
      <w:r w:rsidR="00C30B39">
        <w:rPr>
          <w:rStyle w:val="content"/>
        </w:rPr>
        <w:t xml:space="preserve">. </w:t>
      </w:r>
      <w:r>
        <w:t xml:space="preserve">The sponsor indicated he believes this bill will eliminate 45 percent of red-light cameras in the state of Illinois on January 1, 2021.  The bill does not </w:t>
      </w:r>
      <w:r w:rsidR="00C30B39">
        <w:t>ban red-light cameras in</w:t>
      </w:r>
      <w:r>
        <w:t xml:space="preserve"> home rule units of local governments.  HB 322 heads to the Senate for consideration.</w:t>
      </w:r>
    </w:p>
    <w:p w14:paraId="6FCE543F" w14:textId="1F79FC44" w:rsidR="001A31C6" w:rsidRDefault="001A31C6" w:rsidP="0066062C">
      <w:pPr>
        <w:pStyle w:val="NoSpacing"/>
      </w:pPr>
    </w:p>
    <w:p w14:paraId="25CF8982" w14:textId="0A97332D" w:rsidR="001A31C6" w:rsidRDefault="001A31C6" w:rsidP="0066062C">
      <w:pPr>
        <w:pStyle w:val="NoSpacing"/>
      </w:pPr>
      <w:r>
        <w:t xml:space="preserve">The </w:t>
      </w:r>
      <w:r w:rsidRPr="00954E7E">
        <w:rPr>
          <w:b/>
          <w:bCs/>
        </w:rPr>
        <w:t>House</w:t>
      </w:r>
      <w:r>
        <w:t xml:space="preserve"> also </w:t>
      </w:r>
      <w:r w:rsidRPr="00954E7E">
        <w:rPr>
          <w:b/>
          <w:bCs/>
        </w:rPr>
        <w:t>passed</w:t>
      </w:r>
      <w:r>
        <w:t xml:space="preserve"> legislation </w:t>
      </w:r>
      <w:hyperlink r:id="rId7" w:history="1">
        <w:r>
          <w:rPr>
            <w:rStyle w:val="Hyperlink"/>
          </w:rPr>
          <w:t>HB4007</w:t>
        </w:r>
      </w:hyperlink>
      <w:r>
        <w:t xml:space="preserve"> (West) to require schools to include instruction on “</w:t>
      </w:r>
      <w:r w:rsidRPr="00954E7E">
        <w:rPr>
          <w:b/>
          <w:bCs/>
        </w:rPr>
        <w:t>sexting</w:t>
      </w:r>
      <w:r>
        <w:t xml:space="preserve">” within their sex education course material.  The bill heads to the Senate. </w:t>
      </w:r>
    </w:p>
    <w:p w14:paraId="1C5F9673" w14:textId="42EF3C56" w:rsidR="00723B93" w:rsidRDefault="00C13FE6" w:rsidP="0066062C">
      <w:pPr>
        <w:pStyle w:val="NoSpacing"/>
      </w:pPr>
      <w:r>
        <w:t xml:space="preserve"> </w:t>
      </w:r>
    </w:p>
    <w:p w14:paraId="7C389880" w14:textId="77777777" w:rsidR="00227AD7" w:rsidRDefault="00227AD7" w:rsidP="0066062C">
      <w:pPr>
        <w:pStyle w:val="NoSpacing"/>
      </w:pPr>
    </w:p>
    <w:p w14:paraId="6EEA79F1" w14:textId="411275A9" w:rsidR="00121312" w:rsidRDefault="00804FA6" w:rsidP="0066062C">
      <w:pPr>
        <w:pStyle w:val="NoSpacing"/>
      </w:pPr>
      <w:r>
        <w:lastRenderedPageBreak/>
        <w:t xml:space="preserve">The </w:t>
      </w:r>
      <w:r w:rsidRPr="00954E7E">
        <w:rPr>
          <w:b/>
          <w:bCs/>
        </w:rPr>
        <w:t>House</w:t>
      </w:r>
      <w:r>
        <w:t xml:space="preserve"> also </w:t>
      </w:r>
      <w:r w:rsidRPr="00954E7E">
        <w:rPr>
          <w:b/>
          <w:bCs/>
        </w:rPr>
        <w:t>approved</w:t>
      </w:r>
      <w:r>
        <w:t xml:space="preserve"> </w:t>
      </w:r>
      <w:hyperlink r:id="rId8" w:history="1">
        <w:r w:rsidR="00121312">
          <w:rPr>
            <w:rStyle w:val="Hyperlink"/>
          </w:rPr>
          <w:t>HB4276</w:t>
        </w:r>
      </w:hyperlink>
      <w:r w:rsidR="00121312">
        <w:t xml:space="preserve"> (Moylan) </w:t>
      </w:r>
      <w:r>
        <w:t xml:space="preserve">which </w:t>
      </w:r>
      <w:r w:rsidR="00121312">
        <w:t xml:space="preserve">makes </w:t>
      </w:r>
      <w:r w:rsidR="00121312" w:rsidRPr="00954E7E">
        <w:rPr>
          <w:b/>
          <w:bCs/>
        </w:rPr>
        <w:t>changes to the capital bill</w:t>
      </w:r>
      <w:r w:rsidR="00121312">
        <w:t xml:space="preserve"> passed last year.  The bill p</w:t>
      </w:r>
      <w:r w:rsidR="00121312">
        <w:rPr>
          <w:rStyle w:val="content"/>
        </w:rPr>
        <w:t>rovides that supplemental funding for the Illinois Transportation Enhancement Program shall be set aside on a yearly basis. Provides that local matching funding shall be required according to a sliding scale based on community size, median income, and percentage of population living below the federal poverty line. Provides that at least 25% of funding shall be directed towards projects in high-need communities, based on community median income and percentage of population living below the federal poverty line.</w:t>
      </w:r>
      <w:r w:rsidR="00EB76BC">
        <w:rPr>
          <w:rStyle w:val="content"/>
        </w:rPr>
        <w:t xml:space="preserve">  Proponents argued that this was the intent of the capital bill. </w:t>
      </w:r>
      <w:r>
        <w:rPr>
          <w:rStyle w:val="content"/>
        </w:rPr>
        <w:t>HB 4276 heads to the Senate for consideration.</w:t>
      </w:r>
    </w:p>
    <w:p w14:paraId="3F4A2173" w14:textId="13E84200" w:rsidR="00121312" w:rsidRDefault="00121312" w:rsidP="0066062C">
      <w:pPr>
        <w:pStyle w:val="NoSpacing"/>
      </w:pPr>
    </w:p>
    <w:p w14:paraId="5038C1EE" w14:textId="45F6C723" w:rsidR="00227AD7" w:rsidRPr="00227AD7" w:rsidRDefault="00227AD7" w:rsidP="0066062C">
      <w:pPr>
        <w:pStyle w:val="NoSpacing"/>
        <w:rPr>
          <w:b/>
          <w:bCs/>
          <w:sz w:val="28"/>
          <w:szCs w:val="28"/>
        </w:rPr>
      </w:pPr>
      <w:r w:rsidRPr="00227AD7">
        <w:rPr>
          <w:b/>
          <w:bCs/>
          <w:sz w:val="28"/>
          <w:szCs w:val="28"/>
        </w:rPr>
        <w:t>Insurance:</w:t>
      </w:r>
    </w:p>
    <w:p w14:paraId="389054A8" w14:textId="3BC61BF0" w:rsidR="00227AD7" w:rsidRDefault="00227AD7" w:rsidP="0066062C">
      <w:pPr>
        <w:pStyle w:val="NoSpacing"/>
      </w:pPr>
      <w:r>
        <w:t xml:space="preserve">The </w:t>
      </w:r>
      <w:r w:rsidRPr="00227AD7">
        <w:rPr>
          <w:b/>
          <w:bCs/>
        </w:rPr>
        <w:t>House Insurance Committee</w:t>
      </w:r>
      <w:r>
        <w:t xml:space="preserve"> met this week but did not hear any legislation. Chairman Jones allowed members of the committee to introduce themselves and laid out how he plans on running the committee.</w:t>
      </w:r>
    </w:p>
    <w:p w14:paraId="1C0F5EA5" w14:textId="77777777" w:rsidR="00227AD7" w:rsidRDefault="00227AD7" w:rsidP="0066062C">
      <w:pPr>
        <w:pStyle w:val="NoSpacing"/>
      </w:pPr>
    </w:p>
    <w:p w14:paraId="16E85F91" w14:textId="27426102" w:rsidR="00037D86" w:rsidRDefault="00191B81" w:rsidP="0066062C">
      <w:pPr>
        <w:pStyle w:val="NoSpacing"/>
      </w:pPr>
      <w:r w:rsidRPr="00191B81">
        <w:t xml:space="preserve">The </w:t>
      </w:r>
      <w:r w:rsidRPr="00191B81">
        <w:rPr>
          <w:b/>
          <w:bCs/>
        </w:rPr>
        <w:t xml:space="preserve">Senate </w:t>
      </w:r>
      <w:r w:rsidR="00E63CDB">
        <w:rPr>
          <w:b/>
          <w:bCs/>
        </w:rPr>
        <w:t>Insurance</w:t>
      </w:r>
      <w:r w:rsidRPr="00191B81">
        <w:rPr>
          <w:b/>
          <w:bCs/>
        </w:rPr>
        <w:t xml:space="preserve"> Committee</w:t>
      </w:r>
      <w:r w:rsidRPr="00191B81">
        <w:t xml:space="preserve"> passed </w:t>
      </w:r>
      <w:r w:rsidR="00E63CDB">
        <w:t xml:space="preserve">four bills </w:t>
      </w:r>
      <w:r w:rsidR="00C04659">
        <w:t xml:space="preserve">unanimously </w:t>
      </w:r>
      <w:r w:rsidR="00E63CDB">
        <w:t xml:space="preserve">out of committee </w:t>
      </w:r>
      <w:r w:rsidR="00C04659">
        <w:t xml:space="preserve">this week. Three were passed on the on the contingency of coming back to committee with an amendment those included: </w:t>
      </w:r>
      <w:hyperlink r:id="rId9" w:history="1">
        <w:r w:rsidR="00C04659" w:rsidRPr="00C04659">
          <w:rPr>
            <w:rStyle w:val="Hyperlink"/>
          </w:rPr>
          <w:t>SB 2740</w:t>
        </w:r>
      </w:hyperlink>
      <w:r w:rsidR="00C04659">
        <w:t xml:space="preserve"> (Fine), </w:t>
      </w:r>
      <w:hyperlink r:id="rId10" w:history="1">
        <w:r w:rsidR="00C04659" w:rsidRPr="00C04659">
          <w:rPr>
            <w:rStyle w:val="Hyperlink"/>
          </w:rPr>
          <w:t>SB 2771</w:t>
        </w:r>
      </w:hyperlink>
      <w:r w:rsidR="00C04659">
        <w:t xml:space="preserve"> (Fine), and </w:t>
      </w:r>
      <w:hyperlink r:id="rId11" w:history="1">
        <w:r w:rsidR="00C04659" w:rsidRPr="00C04659">
          <w:rPr>
            <w:rStyle w:val="Hyperlink"/>
          </w:rPr>
          <w:t>SB 3247</w:t>
        </w:r>
      </w:hyperlink>
      <w:r w:rsidR="00C04659">
        <w:t xml:space="preserve"> (Stewart). </w:t>
      </w:r>
      <w:hyperlink r:id="rId12" w:history="1">
        <w:r w:rsidR="00C04659" w:rsidRPr="00C04659">
          <w:rPr>
            <w:rStyle w:val="Hyperlink"/>
          </w:rPr>
          <w:t>SB 3161</w:t>
        </w:r>
      </w:hyperlink>
      <w:r w:rsidR="00C04659">
        <w:t xml:space="preserve"> (Gillespie) does not have to come back to committee. </w:t>
      </w:r>
      <w:r w:rsidR="00D6282E">
        <w:t>Synopsis of the bills are below:</w:t>
      </w:r>
    </w:p>
    <w:p w14:paraId="0253A879" w14:textId="5E72E287" w:rsidR="00C04659" w:rsidRDefault="00C04659" w:rsidP="0066062C">
      <w:pPr>
        <w:pStyle w:val="NoSpacing"/>
      </w:pPr>
    </w:p>
    <w:p w14:paraId="3DABD534" w14:textId="529504A4" w:rsidR="00C04659" w:rsidRPr="00D6282E" w:rsidRDefault="00C04659" w:rsidP="00D6282E">
      <w:pPr>
        <w:rPr>
          <w:rFonts w:ascii="Times New Roman" w:eastAsia="Times New Roman" w:hAnsi="Times New Roman" w:cs="Times New Roman"/>
          <w:sz w:val="24"/>
          <w:szCs w:val="24"/>
        </w:rPr>
      </w:pPr>
      <w:r>
        <w:t xml:space="preserve">SB 2740 (Fine) – </w:t>
      </w:r>
      <w:r w:rsidR="00D6282E" w:rsidRPr="00D6282E">
        <w:rPr>
          <w:rFonts w:eastAsia="Times New Roman" w:cstheme="minorHAnsi"/>
          <w:color w:val="000000" w:themeColor="text1"/>
        </w:rPr>
        <w:t xml:space="preserve">Amends the Illinois Insurance Code. Provides that an insurer that amends, delivers, issues, or renews group accident and health policies providing coverage for hospital or medical treatment or services for illness entered into on or after January 1, 2021 shall ensure that the insured have timely and proximate access to treatment for mental, emotional, nervous, or substance use disorders or conditions. </w:t>
      </w:r>
    </w:p>
    <w:p w14:paraId="04AAC97C" w14:textId="28471F28" w:rsidR="00C04659" w:rsidRPr="00D6282E" w:rsidRDefault="00C04659" w:rsidP="00D6282E">
      <w:pPr>
        <w:rPr>
          <w:rFonts w:ascii="Times New Roman" w:eastAsia="Times New Roman" w:hAnsi="Times New Roman" w:cs="Times New Roman"/>
          <w:sz w:val="24"/>
          <w:szCs w:val="24"/>
        </w:rPr>
      </w:pPr>
      <w:r>
        <w:t xml:space="preserve">SB 2771 (Fine) – </w:t>
      </w:r>
      <w:r w:rsidR="00D6282E" w:rsidRPr="00D6282E">
        <w:rPr>
          <w:rFonts w:eastAsia="Times New Roman" w:cstheme="minorHAnsi"/>
          <w:color w:val="000000" w:themeColor="text1"/>
        </w:rPr>
        <w:t>Amends the Illinois Insurance Code. Provides that an insurer, health maintenance organization, independent practice association, or physician hospital organization may not attempt a recoupment or offset until all appeal rights of a health care professional or health care provider are exhausted. Provides that no recoupment or offset may be requested or withheld from future payments 6 months or more after the original payment is made (rather than 18 months or more after the original payment is made). Effective January 1, 2021</w:t>
      </w:r>
      <w:r w:rsidR="00D6282E" w:rsidRPr="00D6282E">
        <w:rPr>
          <w:rFonts w:eastAsia="Times New Roman" w:cstheme="minorHAnsi"/>
          <w:color w:val="000000" w:themeColor="text1"/>
        </w:rPr>
        <w:t>.</w:t>
      </w:r>
    </w:p>
    <w:p w14:paraId="268F414C" w14:textId="68671B8D" w:rsidR="00C04659" w:rsidRPr="00D6282E" w:rsidRDefault="00C04659" w:rsidP="00D6282E">
      <w:pPr>
        <w:rPr>
          <w:rFonts w:ascii="Times New Roman" w:eastAsia="Times New Roman" w:hAnsi="Times New Roman" w:cs="Times New Roman"/>
          <w:sz w:val="24"/>
          <w:szCs w:val="24"/>
        </w:rPr>
      </w:pPr>
      <w:r>
        <w:t xml:space="preserve">SB 3246 (Stewart) – </w:t>
      </w:r>
      <w:r w:rsidR="00D6282E" w:rsidRPr="00D6282E">
        <w:rPr>
          <w:rFonts w:eastAsia="Times New Roman" w:cstheme="minorHAnsi"/>
          <w:color w:val="000000" w:themeColor="text1"/>
        </w:rPr>
        <w:t>Amends the Illinois Vehicle Code. Provides that certain penalties regarding the operation of an uninsured motor vehicle apply to any operator of a motor vehicle subject to registration under a law of another state that is similar to the Code.</w:t>
      </w:r>
    </w:p>
    <w:p w14:paraId="76DEEBDF" w14:textId="5790A273" w:rsidR="00037D86" w:rsidRPr="00D6282E" w:rsidRDefault="00C04659" w:rsidP="00D6282E">
      <w:pPr>
        <w:rPr>
          <w:rFonts w:ascii="Times New Roman" w:eastAsia="Times New Roman" w:hAnsi="Times New Roman" w:cs="Times New Roman"/>
          <w:sz w:val="24"/>
          <w:szCs w:val="24"/>
        </w:rPr>
      </w:pPr>
      <w:r>
        <w:t xml:space="preserve">SB 3161 (Gillespie) – </w:t>
      </w:r>
      <w:r w:rsidRPr="00D6282E">
        <w:rPr>
          <w:rFonts w:ascii="Calibri" w:eastAsia="Times New Roman" w:hAnsi="Calibri" w:cs="Calibri"/>
          <w:color w:val="000000" w:themeColor="text1"/>
        </w:rPr>
        <w:t xml:space="preserve">Amends the Navigator Certification Act. </w:t>
      </w:r>
      <w:r w:rsidR="00D6282E">
        <w:rPr>
          <w:rFonts w:ascii="Calibri" w:eastAsia="Times New Roman" w:hAnsi="Calibri" w:cs="Calibri"/>
          <w:color w:val="000000" w:themeColor="text1"/>
        </w:rPr>
        <w:t xml:space="preserve">Aligns state statute with federal statute for navigators. </w:t>
      </w:r>
      <w:r w:rsidR="00D6282E" w:rsidRPr="00D6282E">
        <w:rPr>
          <w:rFonts w:ascii="Arial" w:eastAsia="Times New Roman" w:hAnsi="Arial" w:cs="Arial"/>
          <w:color w:val="000000"/>
          <w:sz w:val="20"/>
          <w:szCs w:val="20"/>
          <w:shd w:val="clear" w:color="auto" w:fill="FFFFFF"/>
        </w:rPr>
        <w:t>Provides that navigators or certified application counselors may not engage in any unfair method of competition or any fraudulent, deceptive, or dishonest act or practice related to the health insurance marketplace or to that individual's or entity's absence of a conflict of interest in connection with the enrollment of any individuals or employees in a particular private health benefit plan. Provides that a navigator or certified application counselor who fails to timely file for certificate renewal shall be charged a late fee in an amount prescribed by the Director of Insurance. </w:t>
      </w:r>
    </w:p>
    <w:p w14:paraId="529E68D5" w14:textId="3A2A94CA" w:rsidR="00D6282E" w:rsidRDefault="00D6282E" w:rsidP="0066062C">
      <w:pPr>
        <w:pStyle w:val="NoSpacing"/>
        <w:rPr>
          <w:rStyle w:val="content"/>
        </w:rPr>
      </w:pPr>
    </w:p>
    <w:p w14:paraId="0E9AD19E" w14:textId="646851C5" w:rsidR="00227AD7" w:rsidRDefault="00227AD7" w:rsidP="0066062C">
      <w:pPr>
        <w:pStyle w:val="NoSpacing"/>
        <w:rPr>
          <w:rStyle w:val="content"/>
        </w:rPr>
      </w:pPr>
    </w:p>
    <w:p w14:paraId="1115D553" w14:textId="0DA59411" w:rsidR="00227AD7" w:rsidRDefault="00227AD7" w:rsidP="0066062C">
      <w:pPr>
        <w:pStyle w:val="NoSpacing"/>
        <w:rPr>
          <w:rStyle w:val="content"/>
        </w:rPr>
      </w:pPr>
    </w:p>
    <w:p w14:paraId="242E0B85" w14:textId="77777777" w:rsidR="00227AD7" w:rsidRDefault="00227AD7" w:rsidP="0066062C">
      <w:pPr>
        <w:pStyle w:val="NoSpacing"/>
        <w:rPr>
          <w:rStyle w:val="content"/>
        </w:rPr>
      </w:pPr>
    </w:p>
    <w:p w14:paraId="4059120A" w14:textId="511FAA93" w:rsidR="00D6282E" w:rsidRPr="00227AD7" w:rsidRDefault="00227AD7" w:rsidP="0066062C">
      <w:pPr>
        <w:pStyle w:val="NoSpacing"/>
        <w:rPr>
          <w:rStyle w:val="content"/>
          <w:b/>
          <w:bCs/>
          <w:sz w:val="28"/>
          <w:szCs w:val="28"/>
        </w:rPr>
      </w:pPr>
      <w:r w:rsidRPr="00227AD7">
        <w:rPr>
          <w:rStyle w:val="content"/>
          <w:b/>
          <w:bCs/>
          <w:sz w:val="28"/>
          <w:szCs w:val="28"/>
        </w:rPr>
        <w:lastRenderedPageBreak/>
        <w:t>Data Security</w:t>
      </w:r>
      <w:r>
        <w:rPr>
          <w:rStyle w:val="content"/>
          <w:b/>
          <w:bCs/>
          <w:sz w:val="28"/>
          <w:szCs w:val="28"/>
        </w:rPr>
        <w:t>:</w:t>
      </w:r>
    </w:p>
    <w:p w14:paraId="075A2CB4" w14:textId="2D63123A" w:rsidR="005147F1" w:rsidRDefault="005147F1" w:rsidP="0066062C">
      <w:pPr>
        <w:pStyle w:val="NoSpacing"/>
        <w:rPr>
          <w:rStyle w:val="content"/>
        </w:rPr>
      </w:pPr>
      <w:r>
        <w:rPr>
          <w:rStyle w:val="content"/>
        </w:rPr>
        <w:t xml:space="preserve">Three </w:t>
      </w:r>
      <w:r w:rsidR="00E63CDB">
        <w:rPr>
          <w:rStyle w:val="content"/>
        </w:rPr>
        <w:t>D</w:t>
      </w:r>
      <w:r>
        <w:rPr>
          <w:rStyle w:val="content"/>
        </w:rPr>
        <w:t xml:space="preserve">ata </w:t>
      </w:r>
      <w:r w:rsidR="00E63CDB">
        <w:rPr>
          <w:rStyle w:val="content"/>
        </w:rPr>
        <w:t>P</w:t>
      </w:r>
      <w:r>
        <w:rPr>
          <w:rStyle w:val="content"/>
        </w:rPr>
        <w:t xml:space="preserve">rivacy bills have been assigned to the Senate Judiciary Committee:  </w:t>
      </w:r>
      <w:hyperlink r:id="rId13" w:history="1">
        <w:r>
          <w:rPr>
            <w:rStyle w:val="Hyperlink"/>
          </w:rPr>
          <w:t>SB2263</w:t>
        </w:r>
      </w:hyperlink>
      <w:r>
        <w:rPr>
          <w:rStyle w:val="content"/>
        </w:rPr>
        <w:t xml:space="preserve"> (Harmon); </w:t>
      </w:r>
      <w:hyperlink r:id="rId14" w:history="1">
        <w:r>
          <w:rPr>
            <w:rStyle w:val="Hyperlink"/>
          </w:rPr>
          <w:t>SB2330</w:t>
        </w:r>
      </w:hyperlink>
      <w:r>
        <w:rPr>
          <w:rStyle w:val="content"/>
        </w:rPr>
        <w:t xml:space="preserve"> (T. Cullerton); and  </w:t>
      </w:r>
      <w:hyperlink r:id="rId15" w:history="1">
        <w:r>
          <w:rPr>
            <w:rStyle w:val="Hyperlink"/>
          </w:rPr>
          <w:t>SB3299</w:t>
        </w:r>
      </w:hyperlink>
      <w:r>
        <w:rPr>
          <w:rStyle w:val="content"/>
        </w:rPr>
        <w:t xml:space="preserve"> (Fine).  The bills have not been scheduled for a hearing. </w:t>
      </w:r>
      <w:r w:rsidR="00E63CDB">
        <w:rPr>
          <w:rStyle w:val="content"/>
        </w:rPr>
        <w:t xml:space="preserve">IIA of IL is working with company partners, Department of Insurance, and sponsors of the bills to address our concerns and opposition with the proposed legislation. </w:t>
      </w:r>
      <w:r w:rsidR="00D6282E">
        <w:rPr>
          <w:rStyle w:val="content"/>
        </w:rPr>
        <w:t>We are seeking to adopt the recommended revisions from IIABA.</w:t>
      </w:r>
    </w:p>
    <w:p w14:paraId="0EA2BAE3" w14:textId="77777777" w:rsidR="00227AD7" w:rsidRDefault="00227AD7" w:rsidP="0066062C">
      <w:pPr>
        <w:pStyle w:val="NoSpacing"/>
        <w:rPr>
          <w:b/>
          <w:bCs/>
          <w:sz w:val="28"/>
          <w:szCs w:val="28"/>
        </w:rPr>
      </w:pPr>
      <w:bookmarkStart w:id="0" w:name="_GoBack"/>
      <w:bookmarkEnd w:id="0"/>
    </w:p>
    <w:p w14:paraId="0D0A1D56" w14:textId="46DFB154" w:rsidR="00723B93" w:rsidRPr="00C122C2" w:rsidRDefault="00723B93" w:rsidP="0066062C">
      <w:pPr>
        <w:pStyle w:val="NoSpacing"/>
        <w:rPr>
          <w:b/>
          <w:bCs/>
          <w:sz w:val="28"/>
          <w:szCs w:val="28"/>
        </w:rPr>
      </w:pPr>
      <w:r w:rsidRPr="00C122C2">
        <w:rPr>
          <w:b/>
          <w:bCs/>
          <w:sz w:val="28"/>
          <w:szCs w:val="28"/>
        </w:rPr>
        <w:t>COMING UP:</w:t>
      </w:r>
    </w:p>
    <w:p w14:paraId="452A096E" w14:textId="67A40E72" w:rsidR="0066062C" w:rsidRDefault="00C122C2" w:rsidP="0066062C">
      <w:pPr>
        <w:pStyle w:val="NoSpacing"/>
      </w:pPr>
      <w:r>
        <w:t xml:space="preserve">The Illinois General Assembly stands adjourned until noon on </w:t>
      </w:r>
      <w:r w:rsidRPr="00954E7E">
        <w:rPr>
          <w:b/>
          <w:bCs/>
        </w:rPr>
        <w:t>Tuesday, March 3</w:t>
      </w:r>
      <w:r w:rsidRPr="00954E7E">
        <w:rPr>
          <w:b/>
          <w:bCs/>
          <w:vertAlign w:val="superscript"/>
        </w:rPr>
        <w:t>rd</w:t>
      </w:r>
      <w:r>
        <w:t>.  Following the conclusion of next week’s session, both chambers are taking a one week break ahead of the March 17th primary election.</w:t>
      </w:r>
    </w:p>
    <w:p w14:paraId="2555F683" w14:textId="77777777" w:rsidR="00C44F9B" w:rsidRDefault="00C44F9B" w:rsidP="00581F2E">
      <w:pPr>
        <w:pStyle w:val="PlainText"/>
      </w:pPr>
    </w:p>
    <w:p w14:paraId="1BCB24CD" w14:textId="72A16A24" w:rsidR="00581F2E" w:rsidRPr="00C122C2" w:rsidRDefault="00C44F9B" w:rsidP="00C42B0C">
      <w:pPr>
        <w:pStyle w:val="PlainText"/>
      </w:pPr>
      <w:r>
        <w:t xml:space="preserve">The </w:t>
      </w:r>
      <w:r w:rsidR="00D6282E">
        <w:rPr>
          <w:b/>
          <w:bCs/>
        </w:rPr>
        <w:t>House Insurance Committee</w:t>
      </w:r>
      <w:r w:rsidR="00581F2E">
        <w:t xml:space="preserve"> </w:t>
      </w:r>
      <w:r w:rsidR="00C42B0C">
        <w:t xml:space="preserve">will hold </w:t>
      </w:r>
      <w:r w:rsidR="00D6282E">
        <w:t>a</w:t>
      </w:r>
      <w:r w:rsidR="00C42B0C">
        <w:t xml:space="preserve"> hearing </w:t>
      </w:r>
      <w:r w:rsidR="00D6282E">
        <w:t>on</w:t>
      </w:r>
      <w:r w:rsidR="00C42B0C">
        <w:t xml:space="preserve"> </w:t>
      </w:r>
      <w:r w:rsidR="00D6282E">
        <w:rPr>
          <w:b/>
          <w:bCs/>
        </w:rPr>
        <w:t>Tuesday, March 3</w:t>
      </w:r>
      <w:r w:rsidR="00D6282E" w:rsidRPr="00D6282E">
        <w:rPr>
          <w:b/>
          <w:bCs/>
          <w:vertAlign w:val="superscript"/>
        </w:rPr>
        <w:t>rd</w:t>
      </w:r>
      <w:r w:rsidR="00D6282E">
        <w:rPr>
          <w:b/>
          <w:bCs/>
        </w:rPr>
        <w:t xml:space="preserve"> </w:t>
      </w:r>
      <w:r w:rsidR="00D6282E" w:rsidRPr="00D6282E">
        <w:t>at</w:t>
      </w:r>
      <w:r w:rsidR="00D6282E">
        <w:rPr>
          <w:b/>
          <w:bCs/>
        </w:rPr>
        <w:t xml:space="preserve"> 2:00 PM. </w:t>
      </w:r>
      <w:r w:rsidR="00D6282E">
        <w:t xml:space="preserve">The </w:t>
      </w:r>
      <w:r w:rsidR="00D6282E" w:rsidRPr="00D6282E">
        <w:rPr>
          <w:b/>
          <w:bCs/>
        </w:rPr>
        <w:t xml:space="preserve">Senate Insurance Committee </w:t>
      </w:r>
      <w:r w:rsidR="00D6282E">
        <w:t xml:space="preserve">will hold a hearing on </w:t>
      </w:r>
      <w:r w:rsidR="00D6282E" w:rsidRPr="00D6282E">
        <w:rPr>
          <w:b/>
          <w:bCs/>
        </w:rPr>
        <w:t>Wednesday, March 4</w:t>
      </w:r>
      <w:r w:rsidR="00D6282E" w:rsidRPr="00D6282E">
        <w:rPr>
          <w:b/>
          <w:bCs/>
          <w:vertAlign w:val="superscript"/>
        </w:rPr>
        <w:t>th</w:t>
      </w:r>
      <w:r w:rsidR="00D6282E">
        <w:t xml:space="preserve"> at </w:t>
      </w:r>
      <w:r w:rsidR="00D6282E" w:rsidRPr="00D6282E">
        <w:rPr>
          <w:b/>
          <w:bCs/>
        </w:rPr>
        <w:t>5:00 PM</w:t>
      </w:r>
      <w:r w:rsidR="00D6282E">
        <w:t xml:space="preserve">. </w:t>
      </w:r>
    </w:p>
    <w:p w14:paraId="74C964F5" w14:textId="77777777" w:rsidR="0066062C" w:rsidRDefault="0066062C" w:rsidP="0066062C">
      <w:pPr>
        <w:pStyle w:val="NoSpacing"/>
        <w:rPr>
          <w:b/>
          <w:bCs/>
          <w:u w:val="single"/>
        </w:rPr>
      </w:pPr>
    </w:p>
    <w:p w14:paraId="215A2F7F" w14:textId="17E2D9C7" w:rsidR="0066062C" w:rsidRPr="006C5178" w:rsidRDefault="0066062C" w:rsidP="0066062C">
      <w:pPr>
        <w:pStyle w:val="NoSpacing"/>
        <w:rPr>
          <w:b/>
          <w:bCs/>
          <w:u w:val="single"/>
        </w:rPr>
      </w:pPr>
      <w:r w:rsidRPr="006C5178">
        <w:rPr>
          <w:b/>
          <w:bCs/>
          <w:u w:val="single"/>
        </w:rPr>
        <w:t>Key 2020 Session Dates:</w:t>
      </w:r>
    </w:p>
    <w:p w14:paraId="1BDCE6E4" w14:textId="6A52EE79" w:rsidR="0066062C" w:rsidRDefault="0066062C" w:rsidP="0066062C">
      <w:pPr>
        <w:pStyle w:val="NoSpacing"/>
      </w:pPr>
      <w:r w:rsidRPr="00034671">
        <w:t>March 17</w:t>
      </w:r>
      <w:r w:rsidRPr="00034671">
        <w:rPr>
          <w:vertAlign w:val="superscript"/>
        </w:rPr>
        <w:t>th</w:t>
      </w:r>
      <w:r w:rsidRPr="00034671">
        <w:t>: Primary Election</w:t>
      </w:r>
    </w:p>
    <w:p w14:paraId="0A9399BD" w14:textId="126C1AA5" w:rsidR="00D6282E" w:rsidRPr="00227AD7" w:rsidRDefault="00D6282E" w:rsidP="0066062C">
      <w:pPr>
        <w:pStyle w:val="NoSpacing"/>
        <w:rPr>
          <w:b/>
          <w:bCs/>
        </w:rPr>
      </w:pPr>
      <w:r w:rsidRPr="00227AD7">
        <w:rPr>
          <w:b/>
          <w:bCs/>
          <w:highlight w:val="yellow"/>
        </w:rPr>
        <w:t>March 18</w:t>
      </w:r>
      <w:r w:rsidRPr="00227AD7">
        <w:rPr>
          <w:b/>
          <w:bCs/>
          <w:highlight w:val="yellow"/>
          <w:vertAlign w:val="superscript"/>
        </w:rPr>
        <w:t>th</w:t>
      </w:r>
      <w:r w:rsidRPr="00227AD7">
        <w:rPr>
          <w:b/>
          <w:bCs/>
          <w:highlight w:val="yellow"/>
        </w:rPr>
        <w:t xml:space="preserve">: </w:t>
      </w:r>
      <w:r w:rsidR="00227AD7" w:rsidRPr="00227AD7">
        <w:rPr>
          <w:b/>
          <w:bCs/>
          <w:highlight w:val="yellow"/>
        </w:rPr>
        <w:t>Insurance Industry Legislative Day</w:t>
      </w:r>
    </w:p>
    <w:p w14:paraId="049284CF" w14:textId="77777777" w:rsidR="0066062C" w:rsidRPr="00034671" w:rsidRDefault="0066062C" w:rsidP="0066062C">
      <w:pPr>
        <w:pStyle w:val="NoSpacing"/>
      </w:pPr>
      <w:r w:rsidRPr="00034671">
        <w:t>March 27</w:t>
      </w:r>
      <w:r w:rsidRPr="00034671">
        <w:rPr>
          <w:vertAlign w:val="superscript"/>
        </w:rPr>
        <w:t>th</w:t>
      </w:r>
      <w:r w:rsidRPr="00034671">
        <w:t>:  Committee deadline for substantive bills</w:t>
      </w:r>
    </w:p>
    <w:p w14:paraId="03FDB3B9" w14:textId="77777777" w:rsidR="0066062C" w:rsidRPr="00034671" w:rsidRDefault="0066062C" w:rsidP="0066062C">
      <w:pPr>
        <w:pStyle w:val="NoSpacing"/>
      </w:pPr>
      <w:r w:rsidRPr="00034671">
        <w:t>April 6</w:t>
      </w:r>
      <w:r w:rsidRPr="00034671">
        <w:rPr>
          <w:vertAlign w:val="superscript"/>
        </w:rPr>
        <w:t>th</w:t>
      </w:r>
      <w:r w:rsidRPr="00034671">
        <w:t xml:space="preserve"> – 17</w:t>
      </w:r>
      <w:r w:rsidRPr="00034671">
        <w:rPr>
          <w:vertAlign w:val="superscript"/>
        </w:rPr>
        <w:t>th</w:t>
      </w:r>
      <w:r w:rsidRPr="00034671">
        <w:t>:  Spring Break</w:t>
      </w:r>
    </w:p>
    <w:p w14:paraId="36E46E5D" w14:textId="5846EACE" w:rsidR="0066062C" w:rsidRDefault="0066062C" w:rsidP="0066062C">
      <w:pPr>
        <w:pStyle w:val="NoSpacing"/>
      </w:pPr>
      <w:r w:rsidRPr="00034671">
        <w:t>April 24</w:t>
      </w:r>
      <w:r w:rsidRPr="00034671">
        <w:rPr>
          <w:vertAlign w:val="superscript"/>
        </w:rPr>
        <w:t>th</w:t>
      </w:r>
      <w:r w:rsidRPr="00034671">
        <w:t>:  3</w:t>
      </w:r>
      <w:r w:rsidRPr="00034671">
        <w:rPr>
          <w:vertAlign w:val="superscript"/>
        </w:rPr>
        <w:t>rd</w:t>
      </w:r>
      <w:r w:rsidRPr="00034671">
        <w:t xml:space="preserve"> Reading deadline for substantive bills</w:t>
      </w:r>
    </w:p>
    <w:p w14:paraId="746ABB6D" w14:textId="77777777" w:rsidR="0066062C" w:rsidRPr="00034671" w:rsidRDefault="0066062C" w:rsidP="0066062C">
      <w:pPr>
        <w:pStyle w:val="NoSpacing"/>
      </w:pPr>
      <w:r w:rsidRPr="00034671">
        <w:t>May 15</w:t>
      </w:r>
      <w:r w:rsidRPr="00034671">
        <w:rPr>
          <w:vertAlign w:val="superscript"/>
        </w:rPr>
        <w:t>th</w:t>
      </w:r>
      <w:r w:rsidRPr="00034671">
        <w:t>:  Committee deadline for substantive bills in second chamber</w:t>
      </w:r>
    </w:p>
    <w:p w14:paraId="3DA5360A" w14:textId="77777777" w:rsidR="0066062C" w:rsidRDefault="0066062C" w:rsidP="0066062C">
      <w:pPr>
        <w:pStyle w:val="NoSpacing"/>
      </w:pPr>
      <w:r w:rsidRPr="00034671">
        <w:t>May 22</w:t>
      </w:r>
      <w:r w:rsidRPr="00034671">
        <w:rPr>
          <w:vertAlign w:val="superscript"/>
        </w:rPr>
        <w:t>nd</w:t>
      </w:r>
      <w:r w:rsidRPr="00034671">
        <w:t>:  3</w:t>
      </w:r>
      <w:r w:rsidRPr="00034671">
        <w:rPr>
          <w:vertAlign w:val="superscript"/>
        </w:rPr>
        <w:t>rd</w:t>
      </w:r>
      <w:r w:rsidRPr="00034671">
        <w:t xml:space="preserve"> Reading deadline for substantive bills in second chamber </w:t>
      </w:r>
    </w:p>
    <w:p w14:paraId="0616F7C7" w14:textId="77777777" w:rsidR="0066062C" w:rsidRPr="00AB1B36" w:rsidRDefault="0066062C" w:rsidP="0066062C">
      <w:pPr>
        <w:pStyle w:val="NoSpacing"/>
      </w:pPr>
      <w:r w:rsidRPr="00034671">
        <w:t>May 31</w:t>
      </w:r>
      <w:r w:rsidRPr="00034671">
        <w:rPr>
          <w:vertAlign w:val="superscript"/>
        </w:rPr>
        <w:t>st</w:t>
      </w:r>
      <w:r w:rsidRPr="00034671">
        <w:t>:  Adjournment</w:t>
      </w:r>
    </w:p>
    <w:p w14:paraId="6AE39048" w14:textId="1D52F7AD" w:rsidR="00095CFA" w:rsidRDefault="00095CFA"/>
    <w:p w14:paraId="12F46345" w14:textId="4491031E" w:rsidR="00EC7B97" w:rsidRDefault="00EC7B97"/>
    <w:p w14:paraId="0A316075" w14:textId="3571D05A" w:rsidR="00EC7B97" w:rsidRDefault="00EC7B97" w:rsidP="00EC7B97">
      <w:pPr>
        <w:jc w:val="center"/>
      </w:pPr>
    </w:p>
    <w:sectPr w:rsidR="00EC7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E37AD"/>
    <w:multiLevelType w:val="hybridMultilevel"/>
    <w:tmpl w:val="605AD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62C"/>
    <w:rsid w:val="00037D86"/>
    <w:rsid w:val="00095CFA"/>
    <w:rsid w:val="000E6B8C"/>
    <w:rsid w:val="00121312"/>
    <w:rsid w:val="00191B81"/>
    <w:rsid w:val="001A31C6"/>
    <w:rsid w:val="001A32C1"/>
    <w:rsid w:val="001C2260"/>
    <w:rsid w:val="001F05EF"/>
    <w:rsid w:val="00227AD7"/>
    <w:rsid w:val="00322398"/>
    <w:rsid w:val="00377C9F"/>
    <w:rsid w:val="004833F3"/>
    <w:rsid w:val="005147F1"/>
    <w:rsid w:val="00527394"/>
    <w:rsid w:val="00581F2E"/>
    <w:rsid w:val="00594865"/>
    <w:rsid w:val="0066062C"/>
    <w:rsid w:val="00723B93"/>
    <w:rsid w:val="00771CF7"/>
    <w:rsid w:val="00804FA6"/>
    <w:rsid w:val="00812938"/>
    <w:rsid w:val="00941BA5"/>
    <w:rsid w:val="00954E7E"/>
    <w:rsid w:val="009C28E6"/>
    <w:rsid w:val="00AD6B0B"/>
    <w:rsid w:val="00B02091"/>
    <w:rsid w:val="00BE699C"/>
    <w:rsid w:val="00C04659"/>
    <w:rsid w:val="00C122C2"/>
    <w:rsid w:val="00C13FE6"/>
    <w:rsid w:val="00C30B39"/>
    <w:rsid w:val="00C4081D"/>
    <w:rsid w:val="00C421D1"/>
    <w:rsid w:val="00C42B0C"/>
    <w:rsid w:val="00C44F9B"/>
    <w:rsid w:val="00CB6E70"/>
    <w:rsid w:val="00D6282E"/>
    <w:rsid w:val="00D9483A"/>
    <w:rsid w:val="00E142E0"/>
    <w:rsid w:val="00E63CDB"/>
    <w:rsid w:val="00EB76BC"/>
    <w:rsid w:val="00EC7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FA261"/>
  <w15:chartTrackingRefBased/>
  <w15:docId w15:val="{37C9F50D-4B19-41A9-BD4A-0B22E978F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semiHidden/>
    <w:unhideWhenUsed/>
    <w:qFormat/>
    <w:rsid w:val="000E6B8C"/>
    <w:pPr>
      <w:spacing w:before="100" w:beforeAutospacing="1" w:after="100" w:afterAutospacing="1" w:line="240" w:lineRule="auto"/>
      <w:outlineLvl w:val="1"/>
    </w:pPr>
    <w:rPr>
      <w:rFonts w:ascii="Calibri" w:eastAsia="Times New Roman" w:hAnsi="Calibri" w:cs="Calibri"/>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6062C"/>
    <w:pPr>
      <w:spacing w:after="0" w:line="240" w:lineRule="auto"/>
    </w:pPr>
  </w:style>
  <w:style w:type="character" w:customStyle="1" w:styleId="Heading2Char">
    <w:name w:val="Heading 2 Char"/>
    <w:basedOn w:val="DefaultParagraphFont"/>
    <w:link w:val="Heading2"/>
    <w:uiPriority w:val="9"/>
    <w:semiHidden/>
    <w:rsid w:val="000E6B8C"/>
    <w:rPr>
      <w:rFonts w:ascii="Calibri" w:eastAsia="Times New Roman" w:hAnsi="Calibri" w:cs="Calibri"/>
      <w:b/>
      <w:bCs/>
      <w:sz w:val="36"/>
      <w:szCs w:val="36"/>
    </w:rPr>
  </w:style>
  <w:style w:type="paragraph" w:styleId="NormalWeb">
    <w:name w:val="Normal (Web)"/>
    <w:basedOn w:val="Normal"/>
    <w:uiPriority w:val="99"/>
    <w:unhideWhenUsed/>
    <w:rsid w:val="000E6B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E6B8C"/>
    <w:rPr>
      <w:b/>
      <w:bCs/>
    </w:rPr>
  </w:style>
  <w:style w:type="character" w:styleId="Hyperlink">
    <w:name w:val="Hyperlink"/>
    <w:basedOn w:val="DefaultParagraphFont"/>
    <w:uiPriority w:val="99"/>
    <w:unhideWhenUsed/>
    <w:rsid w:val="00C13FE6"/>
    <w:rPr>
      <w:color w:val="0563C1" w:themeColor="hyperlink"/>
      <w:u w:val="single"/>
    </w:rPr>
  </w:style>
  <w:style w:type="character" w:styleId="UnresolvedMention">
    <w:name w:val="Unresolved Mention"/>
    <w:basedOn w:val="DefaultParagraphFont"/>
    <w:uiPriority w:val="99"/>
    <w:semiHidden/>
    <w:unhideWhenUsed/>
    <w:rsid w:val="00C13FE6"/>
    <w:rPr>
      <w:color w:val="605E5C"/>
      <w:shd w:val="clear" w:color="auto" w:fill="E1DFDD"/>
    </w:rPr>
  </w:style>
  <w:style w:type="character" w:customStyle="1" w:styleId="content">
    <w:name w:val="content"/>
    <w:basedOn w:val="DefaultParagraphFont"/>
    <w:rsid w:val="00527394"/>
  </w:style>
  <w:style w:type="character" w:customStyle="1" w:styleId="prettylink-prefix">
    <w:name w:val="prettylink-prefix"/>
    <w:basedOn w:val="DefaultParagraphFont"/>
    <w:rsid w:val="00037D86"/>
  </w:style>
  <w:style w:type="character" w:customStyle="1" w:styleId="prettylink-value">
    <w:name w:val="prettylink-value"/>
    <w:basedOn w:val="DefaultParagraphFont"/>
    <w:rsid w:val="00037D86"/>
  </w:style>
  <w:style w:type="paragraph" w:styleId="PlainText">
    <w:name w:val="Plain Text"/>
    <w:basedOn w:val="Normal"/>
    <w:link w:val="PlainTextChar"/>
    <w:uiPriority w:val="99"/>
    <w:unhideWhenUsed/>
    <w:rsid w:val="00581F2E"/>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81F2E"/>
    <w:rPr>
      <w:rFonts w:ascii="Calibri" w:hAnsi="Calibri"/>
      <w:szCs w:val="21"/>
    </w:rPr>
  </w:style>
  <w:style w:type="character" w:styleId="HTMLCode">
    <w:name w:val="HTML Code"/>
    <w:basedOn w:val="DefaultParagraphFont"/>
    <w:uiPriority w:val="99"/>
    <w:semiHidden/>
    <w:unhideWhenUsed/>
    <w:rsid w:val="00C04659"/>
    <w:rPr>
      <w:rFonts w:ascii="Courier New" w:eastAsia="Times New Roman" w:hAnsi="Courier New" w:cs="Courier New"/>
      <w:sz w:val="20"/>
      <w:szCs w:val="20"/>
    </w:rPr>
  </w:style>
  <w:style w:type="character" w:customStyle="1" w:styleId="apple-converted-space">
    <w:name w:val="apple-converted-space"/>
    <w:basedOn w:val="DefaultParagraphFont"/>
    <w:rsid w:val="00C046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69527">
      <w:bodyDiv w:val="1"/>
      <w:marLeft w:val="0"/>
      <w:marRight w:val="0"/>
      <w:marTop w:val="0"/>
      <w:marBottom w:val="0"/>
      <w:divBdr>
        <w:top w:val="none" w:sz="0" w:space="0" w:color="auto"/>
        <w:left w:val="none" w:sz="0" w:space="0" w:color="auto"/>
        <w:bottom w:val="none" w:sz="0" w:space="0" w:color="auto"/>
        <w:right w:val="none" w:sz="0" w:space="0" w:color="auto"/>
      </w:divBdr>
      <w:divsChild>
        <w:div w:id="1836023290">
          <w:marLeft w:val="0"/>
          <w:marRight w:val="0"/>
          <w:marTop w:val="0"/>
          <w:marBottom w:val="0"/>
          <w:divBdr>
            <w:top w:val="none" w:sz="0" w:space="0" w:color="auto"/>
            <w:left w:val="none" w:sz="0" w:space="0" w:color="auto"/>
            <w:bottom w:val="none" w:sz="0" w:space="0" w:color="auto"/>
            <w:right w:val="none" w:sz="0" w:space="0" w:color="auto"/>
          </w:divBdr>
        </w:div>
      </w:divsChild>
    </w:div>
    <w:div w:id="150025746">
      <w:bodyDiv w:val="1"/>
      <w:marLeft w:val="0"/>
      <w:marRight w:val="0"/>
      <w:marTop w:val="0"/>
      <w:marBottom w:val="0"/>
      <w:divBdr>
        <w:top w:val="none" w:sz="0" w:space="0" w:color="auto"/>
        <w:left w:val="none" w:sz="0" w:space="0" w:color="auto"/>
        <w:bottom w:val="none" w:sz="0" w:space="0" w:color="auto"/>
        <w:right w:val="none" w:sz="0" w:space="0" w:color="auto"/>
      </w:divBdr>
    </w:div>
    <w:div w:id="399445071">
      <w:bodyDiv w:val="1"/>
      <w:marLeft w:val="0"/>
      <w:marRight w:val="0"/>
      <w:marTop w:val="0"/>
      <w:marBottom w:val="0"/>
      <w:divBdr>
        <w:top w:val="none" w:sz="0" w:space="0" w:color="auto"/>
        <w:left w:val="none" w:sz="0" w:space="0" w:color="auto"/>
        <w:bottom w:val="none" w:sz="0" w:space="0" w:color="auto"/>
        <w:right w:val="none" w:sz="0" w:space="0" w:color="auto"/>
      </w:divBdr>
    </w:div>
    <w:div w:id="784156128">
      <w:bodyDiv w:val="1"/>
      <w:marLeft w:val="0"/>
      <w:marRight w:val="0"/>
      <w:marTop w:val="0"/>
      <w:marBottom w:val="0"/>
      <w:divBdr>
        <w:top w:val="none" w:sz="0" w:space="0" w:color="auto"/>
        <w:left w:val="none" w:sz="0" w:space="0" w:color="auto"/>
        <w:bottom w:val="none" w:sz="0" w:space="0" w:color="auto"/>
        <w:right w:val="none" w:sz="0" w:space="0" w:color="auto"/>
      </w:divBdr>
    </w:div>
    <w:div w:id="909730521">
      <w:bodyDiv w:val="1"/>
      <w:marLeft w:val="0"/>
      <w:marRight w:val="0"/>
      <w:marTop w:val="0"/>
      <w:marBottom w:val="0"/>
      <w:divBdr>
        <w:top w:val="none" w:sz="0" w:space="0" w:color="auto"/>
        <w:left w:val="none" w:sz="0" w:space="0" w:color="auto"/>
        <w:bottom w:val="none" w:sz="0" w:space="0" w:color="auto"/>
        <w:right w:val="none" w:sz="0" w:space="0" w:color="auto"/>
      </w:divBdr>
    </w:div>
    <w:div w:id="1205749437">
      <w:bodyDiv w:val="1"/>
      <w:marLeft w:val="0"/>
      <w:marRight w:val="0"/>
      <w:marTop w:val="0"/>
      <w:marBottom w:val="0"/>
      <w:divBdr>
        <w:top w:val="none" w:sz="0" w:space="0" w:color="auto"/>
        <w:left w:val="none" w:sz="0" w:space="0" w:color="auto"/>
        <w:bottom w:val="none" w:sz="0" w:space="0" w:color="auto"/>
        <w:right w:val="none" w:sz="0" w:space="0" w:color="auto"/>
      </w:divBdr>
    </w:div>
    <w:div w:id="1246840659">
      <w:bodyDiv w:val="1"/>
      <w:marLeft w:val="0"/>
      <w:marRight w:val="0"/>
      <w:marTop w:val="0"/>
      <w:marBottom w:val="0"/>
      <w:divBdr>
        <w:top w:val="none" w:sz="0" w:space="0" w:color="auto"/>
        <w:left w:val="none" w:sz="0" w:space="0" w:color="auto"/>
        <w:bottom w:val="none" w:sz="0" w:space="0" w:color="auto"/>
        <w:right w:val="none" w:sz="0" w:space="0" w:color="auto"/>
      </w:divBdr>
    </w:div>
    <w:div w:id="1644382969">
      <w:bodyDiv w:val="1"/>
      <w:marLeft w:val="0"/>
      <w:marRight w:val="0"/>
      <w:marTop w:val="0"/>
      <w:marBottom w:val="0"/>
      <w:divBdr>
        <w:top w:val="none" w:sz="0" w:space="0" w:color="auto"/>
        <w:left w:val="none" w:sz="0" w:space="0" w:color="auto"/>
        <w:bottom w:val="none" w:sz="0" w:space="0" w:color="auto"/>
        <w:right w:val="none" w:sz="0" w:space="0" w:color="auto"/>
      </w:divBdr>
    </w:div>
    <w:div w:id="18770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ga.gov/legislation/billstatus.asp?DocNum=4276&amp;GAID=15&amp;GA=101&amp;DocTypeID=HB&amp;LegID=123325&amp;SessionID=108" TargetMode="External"/><Relationship Id="rId13" Type="http://schemas.openxmlformats.org/officeDocument/2006/relationships/hyperlink" Target="http://ilga.gov/legislation/billstatus.asp?DocNum=2263&amp;GAID=15&amp;GA=101&amp;DocTypeID=SB&amp;LegID=121653&amp;SessionID=108" TargetMode="External"/><Relationship Id="rId3" Type="http://schemas.openxmlformats.org/officeDocument/2006/relationships/settings" Target="settings.xml"/><Relationship Id="rId7" Type="http://schemas.openxmlformats.org/officeDocument/2006/relationships/hyperlink" Target="http://ilga.gov/legislation/BillStatus.asp?DocTypeID=HB&amp;DocNum=4007&amp;GAID=15&amp;SessionID=108&amp;LegID=122674" TargetMode="External"/><Relationship Id="rId12" Type="http://schemas.openxmlformats.org/officeDocument/2006/relationships/hyperlink" Target="http://www.ilga.gov/legislation/fulltext.asp?DocName=&amp;SessionId=108&amp;GA=101&amp;DocTypeId=SB&amp;DocNum=3161&amp;GAID=15&amp;LegID=124574&amp;SpecSess=&amp;Sessio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ilga.gov/legislation/billstatus.asp?DocNum=322&amp;GAID=15&amp;GA=101&amp;DocTypeID=HB&amp;LegID=114470&amp;SessionID=108" TargetMode="External"/><Relationship Id="rId11" Type="http://schemas.openxmlformats.org/officeDocument/2006/relationships/hyperlink" Target="http://www.ilga.gov/legislation/fulltext.asp?DocName=&amp;SessionId=108&amp;GA=101&amp;DocTypeId=SB&amp;DocNum=3247&amp;GAID=15&amp;LegID=124759&amp;SpecSess=&amp;Session=" TargetMode="External"/><Relationship Id="rId5" Type="http://schemas.openxmlformats.org/officeDocument/2006/relationships/hyperlink" Target="http://ilga.gov/legislation/BillStatus.asp?DocNum=4617&amp;GAID=15&amp;DocTypeID=HB&amp;LegID=124362&amp;SessionID=108" TargetMode="External"/><Relationship Id="rId15" Type="http://schemas.openxmlformats.org/officeDocument/2006/relationships/hyperlink" Target="http://ilga.gov/legislation/billstatus.asp?DocNum=3299&amp;GAID=15&amp;GA=101&amp;DocTypeID=SB&amp;LegID=124843&amp;SessionID=108" TargetMode="External"/><Relationship Id="rId10" Type="http://schemas.openxmlformats.org/officeDocument/2006/relationships/hyperlink" Target="http://www.ilga.gov/legislation/fulltext.asp?DocName=&amp;SessionId=108&amp;GA=101&amp;DocTypeId=SB&amp;DocNum=2771&amp;GAID=15&amp;LegID=123774&amp;SpecSess=&amp;Session=" TargetMode="External"/><Relationship Id="rId4" Type="http://schemas.openxmlformats.org/officeDocument/2006/relationships/webSettings" Target="webSettings.xml"/><Relationship Id="rId9" Type="http://schemas.openxmlformats.org/officeDocument/2006/relationships/hyperlink" Target="http://www.ilga.gov/legislation/fulltext.asp?DocName=&amp;SessionId=108&amp;GA=101&amp;DocTypeId=SB&amp;DocNum=2740&amp;GAID=15&amp;LegID=123679&amp;SpecSess=&amp;Session=" TargetMode="External"/><Relationship Id="rId14" Type="http://schemas.openxmlformats.org/officeDocument/2006/relationships/hyperlink" Target="http://ilga.gov/legislation/billstatus.asp?DocNum=2330&amp;GAID=15&amp;GA=101&amp;DocTypeID=SB&amp;LegID=122685&amp;SessionID=1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Lounsberry</dc:creator>
  <cp:keywords/>
  <dc:description/>
  <cp:lastModifiedBy>Evan Manning</cp:lastModifiedBy>
  <cp:revision>3</cp:revision>
  <dcterms:created xsi:type="dcterms:W3CDTF">2020-02-28T21:42:00Z</dcterms:created>
  <dcterms:modified xsi:type="dcterms:W3CDTF">2020-02-28T22:39:00Z</dcterms:modified>
</cp:coreProperties>
</file>