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433CD" w14:textId="77777777" w:rsidR="00D5627A" w:rsidRPr="00D5627A" w:rsidRDefault="001B4048" w:rsidP="00D5627A">
      <w:pPr>
        <w:rPr>
          <w:rFonts w:eastAsia="Times New Roman" w:cstheme="minorHAnsi"/>
          <w:b/>
          <w:bCs/>
          <w:sz w:val="28"/>
          <w:szCs w:val="28"/>
        </w:rPr>
      </w:pPr>
      <w:r w:rsidRPr="00D5627A">
        <w:rPr>
          <w:rFonts w:eastAsia="Times New Roman" w:cstheme="minorHAnsi"/>
          <w:b/>
          <w:bCs/>
          <w:sz w:val="28"/>
          <w:szCs w:val="28"/>
        </w:rPr>
        <w:t>GOVERNOR’S HIGLIGHTS:</w:t>
      </w:r>
    </w:p>
    <w:p w14:paraId="6EF6516B" w14:textId="77777777" w:rsidR="0079605A" w:rsidRPr="00DA0BBF" w:rsidRDefault="0079605A" w:rsidP="007960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A0BBF">
        <w:rPr>
          <w:rFonts w:asciiTheme="minorHAnsi" w:hAnsiTheme="minorHAnsi" w:cstheme="minorHAnsi"/>
          <w:b/>
          <w:smallCaps/>
          <w:sz w:val="22"/>
          <w:szCs w:val="22"/>
        </w:rPr>
        <w:t>Sexual Harassment Training:</w:t>
      </w:r>
      <w:r w:rsidRPr="00DA0BBF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DA0BBF">
        <w:rPr>
          <w:rFonts w:asciiTheme="minorHAnsi" w:hAnsiTheme="minorHAnsi" w:cstheme="minorHAnsi"/>
          <w:sz w:val="22"/>
          <w:szCs w:val="22"/>
        </w:rPr>
        <w:t xml:space="preserve">he Illinois </w:t>
      </w:r>
      <w:r w:rsidRPr="00DA0BBF">
        <w:rPr>
          <w:rFonts w:asciiTheme="minorHAnsi" w:hAnsiTheme="minorHAnsi" w:cstheme="minorHAnsi"/>
          <w:b/>
          <w:bCs/>
          <w:sz w:val="22"/>
          <w:szCs w:val="22"/>
        </w:rPr>
        <w:t>Department of Human Rights</w:t>
      </w:r>
      <w:r w:rsidRPr="00DA0BBF">
        <w:rPr>
          <w:rFonts w:asciiTheme="minorHAnsi" w:hAnsiTheme="minorHAnsi" w:cstheme="minorHAnsi"/>
          <w:sz w:val="22"/>
          <w:szCs w:val="22"/>
        </w:rPr>
        <w:t xml:space="preserve">  launched an </w:t>
      </w:r>
      <w:hyperlink r:id="rId5" w:history="1">
        <w:r w:rsidRPr="00DA0BBF">
          <w:rPr>
            <w:rStyle w:val="Hyperlink"/>
            <w:rFonts w:asciiTheme="minorHAnsi" w:hAnsiTheme="minorHAnsi" w:cstheme="minorHAnsi"/>
            <w:sz w:val="22"/>
            <w:szCs w:val="22"/>
          </w:rPr>
          <w:t>information-based webpage</w:t>
        </w:r>
      </w:hyperlink>
      <w:r w:rsidRPr="00DA0BBF">
        <w:rPr>
          <w:rFonts w:asciiTheme="minorHAnsi" w:hAnsiTheme="minorHAnsi" w:cstheme="minorHAnsi"/>
          <w:sz w:val="22"/>
          <w:szCs w:val="22"/>
        </w:rPr>
        <w:t xml:space="preserve"> concerning the Workplace Transparency Act, a </w:t>
      </w:r>
      <w:r>
        <w:rPr>
          <w:rFonts w:asciiTheme="minorHAnsi" w:hAnsiTheme="minorHAnsi" w:cstheme="minorHAnsi"/>
          <w:sz w:val="22"/>
          <w:szCs w:val="22"/>
        </w:rPr>
        <w:t xml:space="preserve">new Illinois </w:t>
      </w:r>
      <w:r w:rsidRPr="00DA0BBF">
        <w:rPr>
          <w:rFonts w:asciiTheme="minorHAnsi" w:hAnsiTheme="minorHAnsi" w:cstheme="minorHAnsi"/>
          <w:sz w:val="22"/>
          <w:szCs w:val="22"/>
        </w:rPr>
        <w:t>law that requires all Illinois employers to provide sexual harassment prevention training to their employees on an annual basis.</w:t>
      </w:r>
      <w:r>
        <w:rPr>
          <w:rFonts w:asciiTheme="minorHAnsi" w:hAnsiTheme="minorHAnsi" w:cstheme="minorHAnsi"/>
          <w:sz w:val="22"/>
          <w:szCs w:val="22"/>
        </w:rPr>
        <w:t xml:space="preserve"> A full copy of the announcement is </w:t>
      </w:r>
      <w:hyperlink r:id="rId6" w:history="1">
        <w:r w:rsidRPr="00B271CB">
          <w:rPr>
            <w:rStyle w:val="Hyperlink"/>
            <w:rFonts w:asciiTheme="minorHAnsi" w:hAnsiTheme="minorHAnsi" w:cstheme="minorHAnsi"/>
            <w:sz w:val="22"/>
            <w:szCs w:val="22"/>
          </w:rPr>
          <w:t>h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>ere.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3BC8CA" w14:textId="6BAB91C7" w:rsidR="00FB3205" w:rsidRDefault="00FB3205" w:rsidP="00FB3205">
      <w:pPr>
        <w:spacing w:before="100" w:beforeAutospacing="1" w:after="100" w:afterAutospacing="1"/>
      </w:pPr>
      <w:r w:rsidRPr="00C071E7">
        <w:rPr>
          <w:b/>
          <w:smallCaps/>
        </w:rPr>
        <w:t>Tax Amnesty:</w:t>
      </w:r>
      <w:r>
        <w:t xml:space="preserve"> The </w:t>
      </w:r>
      <w:r w:rsidRPr="00BB1913">
        <w:rPr>
          <w:b/>
          <w:bCs/>
        </w:rPr>
        <w:t>Illinois Department of Revenue</w:t>
      </w:r>
      <w:r>
        <w:t xml:space="preserve"> announced </w:t>
      </w:r>
      <w:r w:rsidR="0079605A">
        <w:t>on Thursday, February 6</w:t>
      </w:r>
      <w:r w:rsidR="0079605A" w:rsidRPr="0079605A">
        <w:rPr>
          <w:vertAlign w:val="superscript"/>
        </w:rPr>
        <w:t>th</w:t>
      </w:r>
      <w:r w:rsidR="0079605A">
        <w:t xml:space="preserve"> </w:t>
      </w:r>
      <w:r>
        <w:t xml:space="preserve">it collected nearly </w:t>
      </w:r>
      <w:r w:rsidRPr="00BB1913">
        <w:rPr>
          <w:b/>
          <w:bCs/>
        </w:rPr>
        <w:t>$240 million</w:t>
      </w:r>
      <w:r>
        <w:t xml:space="preserve"> through its </w:t>
      </w:r>
      <w:r w:rsidRPr="00BB1913">
        <w:rPr>
          <w:b/>
          <w:bCs/>
        </w:rPr>
        <w:t>tax amnesty program</w:t>
      </w:r>
      <w:r>
        <w:t xml:space="preserve">. Over </w:t>
      </w:r>
      <w:r w:rsidRPr="00BB1913">
        <w:rPr>
          <w:b/>
          <w:bCs/>
        </w:rPr>
        <w:t>$60 million</w:t>
      </w:r>
      <w:r>
        <w:t xml:space="preserve"> of the funding collected through the program will go to </w:t>
      </w:r>
      <w:r w:rsidRPr="00BB1913">
        <w:rPr>
          <w:b/>
          <w:bCs/>
        </w:rPr>
        <w:t>local governments</w:t>
      </w:r>
      <w:r>
        <w:t xml:space="preserve">, with roughly </w:t>
      </w:r>
      <w:r w:rsidRPr="00BB1913">
        <w:rPr>
          <w:b/>
          <w:bCs/>
        </w:rPr>
        <w:t>$7.5 million</w:t>
      </w:r>
      <w:r>
        <w:t xml:space="preserve"> going to the </w:t>
      </w:r>
      <w:r w:rsidRPr="00BB1913">
        <w:rPr>
          <w:b/>
          <w:bCs/>
        </w:rPr>
        <w:t>City of Chicago</w:t>
      </w:r>
      <w:r>
        <w:t>. Gov. JB Pritzker proposed the amnesty program as part of last year's budget, and the Office of Management and Budget estimated the program would recover $175 million in outstanding tax liabilities.</w:t>
      </w:r>
    </w:p>
    <w:p w14:paraId="3B92C799" w14:textId="77777777" w:rsidR="00FB3205" w:rsidRDefault="00FB3205" w:rsidP="00FB320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071E7">
        <w:rPr>
          <w:rFonts w:asciiTheme="minorHAnsi" w:hAnsiTheme="minorHAnsi" w:cstheme="minorHAnsi"/>
          <w:b/>
          <w:smallCaps/>
          <w:sz w:val="22"/>
          <w:szCs w:val="22"/>
        </w:rPr>
        <w:t>Broadband Investment</w:t>
      </w:r>
      <w:r w:rsidRPr="00C071E7">
        <w:rPr>
          <w:rFonts w:asciiTheme="minorHAnsi" w:hAnsiTheme="minorHAnsi" w:cstheme="minorHAnsi"/>
          <w:sz w:val="22"/>
          <w:szCs w:val="22"/>
        </w:rPr>
        <w:t xml:space="preserve">:  </w:t>
      </w:r>
      <w:r w:rsidRPr="00BB1913">
        <w:rPr>
          <w:rFonts w:asciiTheme="minorHAnsi" w:hAnsiTheme="minorHAnsi" w:cstheme="minorHAnsi"/>
          <w:b/>
          <w:bCs/>
          <w:sz w:val="22"/>
          <w:szCs w:val="22"/>
        </w:rPr>
        <w:t>Gov.  JB Pritzker</w:t>
      </w:r>
      <w:r w:rsidRPr="00C071E7">
        <w:rPr>
          <w:rFonts w:asciiTheme="minorHAnsi" w:hAnsiTheme="minorHAnsi" w:cstheme="minorHAnsi"/>
          <w:sz w:val="22"/>
          <w:szCs w:val="22"/>
        </w:rPr>
        <w:t xml:space="preserve"> announced that the state </w:t>
      </w:r>
      <w:r>
        <w:rPr>
          <w:rFonts w:asciiTheme="minorHAnsi" w:hAnsiTheme="minorHAnsi" w:cstheme="minorHAnsi"/>
          <w:sz w:val="22"/>
          <w:szCs w:val="22"/>
        </w:rPr>
        <w:t xml:space="preserve">is </w:t>
      </w:r>
      <w:r w:rsidRPr="00C071E7">
        <w:rPr>
          <w:rFonts w:asciiTheme="minorHAnsi" w:hAnsiTheme="minorHAnsi" w:cstheme="minorHAnsi"/>
          <w:sz w:val="22"/>
          <w:szCs w:val="22"/>
        </w:rPr>
        <w:t xml:space="preserve">releasing </w:t>
      </w:r>
      <w:r w:rsidRPr="00BB1913">
        <w:rPr>
          <w:rFonts w:asciiTheme="minorHAnsi" w:hAnsiTheme="minorHAnsi" w:cstheme="minorHAnsi"/>
          <w:b/>
          <w:bCs/>
          <w:sz w:val="22"/>
          <w:szCs w:val="22"/>
        </w:rPr>
        <w:t>$50 million</w:t>
      </w:r>
      <w:r w:rsidRPr="00C071E7">
        <w:rPr>
          <w:rFonts w:asciiTheme="minorHAnsi" w:hAnsiTheme="minorHAnsi" w:cstheme="minorHAnsi"/>
          <w:sz w:val="22"/>
          <w:szCs w:val="22"/>
        </w:rPr>
        <w:t xml:space="preserve"> in funding for the first round of matching grants of </w:t>
      </w:r>
      <w:r w:rsidRPr="00BB1913">
        <w:rPr>
          <w:rFonts w:asciiTheme="minorHAnsi" w:hAnsiTheme="minorHAnsi" w:cstheme="minorHAnsi"/>
          <w:b/>
          <w:bCs/>
          <w:sz w:val="22"/>
          <w:szCs w:val="22"/>
        </w:rPr>
        <w:t>Connect Illinois</w:t>
      </w:r>
      <w:r w:rsidRPr="00C071E7">
        <w:rPr>
          <w:rFonts w:asciiTheme="minorHAnsi" w:hAnsiTheme="minorHAnsi" w:cstheme="minorHAnsi"/>
          <w:sz w:val="22"/>
          <w:szCs w:val="22"/>
        </w:rPr>
        <w:t xml:space="preserve">, the state’s </w:t>
      </w:r>
      <w:r w:rsidRPr="00BB1913">
        <w:rPr>
          <w:rFonts w:asciiTheme="minorHAnsi" w:hAnsiTheme="minorHAnsi" w:cstheme="minorHAnsi"/>
          <w:b/>
          <w:bCs/>
          <w:sz w:val="22"/>
          <w:szCs w:val="22"/>
        </w:rPr>
        <w:t>$420 million statewide broadband expansion</w:t>
      </w:r>
      <w:r w:rsidRPr="00C071E7">
        <w:rPr>
          <w:rFonts w:asciiTheme="minorHAnsi" w:hAnsiTheme="minorHAnsi" w:cstheme="minorHAnsi"/>
          <w:sz w:val="22"/>
          <w:szCs w:val="22"/>
        </w:rPr>
        <w:t xml:space="preserve">. Applicants are required to provide at least 50% of non-state funding. Grant responses for the initial $50 million round of funding can be submitted through </w:t>
      </w:r>
      <w:r w:rsidRPr="00BB1913">
        <w:rPr>
          <w:rFonts w:asciiTheme="minorHAnsi" w:hAnsiTheme="minorHAnsi" w:cstheme="minorHAnsi"/>
          <w:b/>
          <w:bCs/>
          <w:sz w:val="22"/>
          <w:szCs w:val="22"/>
        </w:rPr>
        <w:t>Friday, April 3, 2020</w:t>
      </w:r>
      <w:r w:rsidRPr="00C071E7">
        <w:rPr>
          <w:rFonts w:asciiTheme="minorHAnsi" w:hAnsiTheme="minorHAnsi" w:cstheme="minorHAnsi"/>
          <w:sz w:val="22"/>
          <w:szCs w:val="22"/>
        </w:rPr>
        <w:t xml:space="preserve">. Up to $5 million per project will be available during the first round, and subsequent rounds will follow over the course of the next several years. The </w:t>
      </w:r>
      <w:r w:rsidRPr="00BB1913">
        <w:rPr>
          <w:rFonts w:asciiTheme="minorHAnsi" w:hAnsiTheme="minorHAnsi" w:cstheme="minorHAnsi"/>
          <w:b/>
          <w:bCs/>
          <w:sz w:val="22"/>
          <w:szCs w:val="22"/>
        </w:rPr>
        <w:t>Notice of Funding Opportunity</w:t>
      </w:r>
      <w:r w:rsidRPr="00C071E7">
        <w:rPr>
          <w:rFonts w:asciiTheme="minorHAnsi" w:hAnsiTheme="minorHAnsi" w:cstheme="minorHAnsi"/>
          <w:sz w:val="22"/>
          <w:szCs w:val="22"/>
        </w:rPr>
        <w:t xml:space="preserve"> is available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tgtFrame="_blank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C071E7">
        <w:rPr>
          <w:rFonts w:asciiTheme="minorHAnsi" w:hAnsiTheme="minorHAnsi" w:cstheme="minorHAnsi"/>
          <w:sz w:val="22"/>
          <w:szCs w:val="22"/>
        </w:rPr>
        <w:t>.</w:t>
      </w:r>
    </w:p>
    <w:p w14:paraId="66F443C2" w14:textId="5A233F65" w:rsidR="00D5627A" w:rsidRPr="0079605A" w:rsidRDefault="00FB3205" w:rsidP="0079605A">
      <w:pPr>
        <w:rPr>
          <w:rFonts w:eastAsia="Times New Roman" w:cstheme="minorHAnsi"/>
        </w:rPr>
      </w:pPr>
      <w:r w:rsidRPr="00FB3205">
        <w:rPr>
          <w:rFonts w:eastAsia="Times New Roman" w:cstheme="minorHAnsi"/>
          <w:b/>
          <w:bCs/>
          <w:smallCaps/>
        </w:rPr>
        <w:t>Fire/Police Pension Boards</w:t>
      </w:r>
      <w:r>
        <w:rPr>
          <w:rFonts w:eastAsia="Times New Roman" w:cstheme="minorHAnsi"/>
          <w:b/>
          <w:bCs/>
        </w:rPr>
        <w:t xml:space="preserve">:  </w:t>
      </w:r>
      <w:r w:rsidR="002568B6" w:rsidRPr="00BB1913">
        <w:rPr>
          <w:rFonts w:eastAsia="Times New Roman" w:cstheme="minorHAnsi"/>
          <w:b/>
          <w:bCs/>
        </w:rPr>
        <w:t>Gov.</w:t>
      </w:r>
      <w:r w:rsidR="0035231A" w:rsidRPr="00BB1913">
        <w:rPr>
          <w:rFonts w:eastAsia="Times New Roman" w:cstheme="minorHAnsi"/>
          <w:b/>
          <w:bCs/>
        </w:rPr>
        <w:t xml:space="preserve"> JB Pritzker</w:t>
      </w:r>
      <w:r w:rsidR="0035231A" w:rsidRPr="0035231A">
        <w:rPr>
          <w:rFonts w:eastAsia="Times New Roman" w:cstheme="minorHAnsi"/>
        </w:rPr>
        <w:t xml:space="preserve"> named </w:t>
      </w:r>
      <w:r w:rsidR="0035231A" w:rsidRPr="00BB1913">
        <w:rPr>
          <w:rFonts w:eastAsia="Times New Roman" w:cstheme="minorHAnsi"/>
          <w:b/>
          <w:bCs/>
        </w:rPr>
        <w:t>18 members</w:t>
      </w:r>
      <w:r w:rsidR="0035231A" w:rsidRPr="0035231A">
        <w:rPr>
          <w:rFonts w:eastAsia="Times New Roman" w:cstheme="minorHAnsi"/>
        </w:rPr>
        <w:t xml:space="preserve"> to two interim boards that will manage the new statewide </w:t>
      </w:r>
      <w:r w:rsidR="001B4048" w:rsidRPr="00BB1913">
        <w:rPr>
          <w:rFonts w:eastAsia="Times New Roman" w:cstheme="minorHAnsi"/>
          <w:b/>
          <w:bCs/>
        </w:rPr>
        <w:t xml:space="preserve">downstate police and fire pension </w:t>
      </w:r>
      <w:r w:rsidR="0035231A" w:rsidRPr="00BB1913">
        <w:rPr>
          <w:rFonts w:eastAsia="Times New Roman" w:cstheme="minorHAnsi"/>
          <w:b/>
          <w:bCs/>
        </w:rPr>
        <w:t>investment funds</w:t>
      </w:r>
      <w:r w:rsidR="0035231A" w:rsidRPr="0035231A">
        <w:rPr>
          <w:rFonts w:eastAsia="Times New Roman" w:cstheme="minorHAnsi"/>
        </w:rPr>
        <w:t>. The transition board trustees will oversee the consolidation of local funds over the next year, when permanent board trustees will be elected. The fund</w:t>
      </w:r>
      <w:r w:rsidR="00C50853">
        <w:rPr>
          <w:rFonts w:eastAsia="Times New Roman" w:cstheme="minorHAnsi"/>
        </w:rPr>
        <w:t>s’</w:t>
      </w:r>
      <w:r w:rsidR="0035231A" w:rsidRPr="0035231A">
        <w:rPr>
          <w:rFonts w:eastAsia="Times New Roman" w:cstheme="minorHAnsi"/>
        </w:rPr>
        <w:t xml:space="preserve"> boards consist of five members drawn from employees and retirees</w:t>
      </w:r>
      <w:r w:rsidR="00C50853">
        <w:rPr>
          <w:rFonts w:eastAsia="Times New Roman" w:cstheme="minorHAnsi"/>
        </w:rPr>
        <w:t>,</w:t>
      </w:r>
      <w:r w:rsidR="0035231A" w:rsidRPr="0035231A">
        <w:rPr>
          <w:rFonts w:eastAsia="Times New Roman" w:cstheme="minorHAnsi"/>
        </w:rPr>
        <w:t xml:space="preserve"> and four members representing employers.</w:t>
      </w:r>
      <w:r w:rsidR="0035231A" w:rsidRPr="0035231A">
        <w:rPr>
          <w:rFonts w:eastAsia="Times New Roman" w:cstheme="minorHAnsi"/>
        </w:rPr>
        <w:br/>
        <w:t> </w:t>
      </w:r>
      <w:r w:rsidR="0035231A" w:rsidRPr="0035231A">
        <w:rPr>
          <w:rFonts w:eastAsia="Times New Roman" w:cstheme="minorHAnsi"/>
        </w:rPr>
        <w:br/>
      </w:r>
      <w:r w:rsidR="00D5627A" w:rsidRPr="00D5627A">
        <w:rPr>
          <w:rFonts w:eastAsia="Times New Roman" w:cstheme="minorHAnsi"/>
          <w:b/>
          <w:bCs/>
          <w:sz w:val="28"/>
          <w:szCs w:val="28"/>
        </w:rPr>
        <w:t>101</w:t>
      </w:r>
      <w:r w:rsidR="00D5627A" w:rsidRPr="00D5627A">
        <w:rPr>
          <w:rFonts w:eastAsia="Times New Roman" w:cstheme="minorHAnsi"/>
          <w:b/>
          <w:bCs/>
          <w:sz w:val="28"/>
          <w:szCs w:val="28"/>
          <w:vertAlign w:val="superscript"/>
        </w:rPr>
        <w:t>st</w:t>
      </w:r>
      <w:r w:rsidR="00D5627A" w:rsidRPr="00D5627A">
        <w:rPr>
          <w:rFonts w:eastAsia="Times New Roman" w:cstheme="minorHAnsi"/>
          <w:b/>
          <w:bCs/>
          <w:sz w:val="28"/>
          <w:szCs w:val="28"/>
        </w:rPr>
        <w:t xml:space="preserve"> GENERAL ASSEMBLY:</w:t>
      </w:r>
    </w:p>
    <w:p w14:paraId="46915A2E" w14:textId="4A58E685" w:rsidR="00BE6B16" w:rsidRDefault="00BE6B16" w:rsidP="00F73BE9">
      <w:pPr>
        <w:spacing w:after="160" w:line="259" w:lineRule="auto"/>
      </w:pPr>
      <w:bookmarkStart w:id="0" w:name="_Hlk31711889"/>
      <w:r>
        <w:t>The General Assembly was in session Tuesday and Wednesday of this</w:t>
      </w:r>
      <w:r w:rsidR="00C50853">
        <w:t xml:space="preserve"> week</w:t>
      </w:r>
      <w:r>
        <w:t>; both chambers canceled session for Thursday. Legislators primarily spent the week filing new legislation and considering bills at the committee lev</w:t>
      </w:r>
      <w:r w:rsidR="007243DC">
        <w:t xml:space="preserve">el. </w:t>
      </w:r>
    </w:p>
    <w:p w14:paraId="4F904D9D" w14:textId="5DA32EC1" w:rsidR="00E549D6" w:rsidRDefault="00E549D6" w:rsidP="00F73BE9">
      <w:pPr>
        <w:spacing w:after="160" w:line="259" w:lineRule="auto"/>
      </w:pPr>
      <w:r>
        <w:t xml:space="preserve">The House and Senate Insurance Committees both canceled their hearings this week. The House Insurance Committee was set to hear </w:t>
      </w:r>
      <w:hyperlink r:id="rId8" w:history="1">
        <w:r w:rsidRPr="00E549D6">
          <w:rPr>
            <w:rStyle w:val="Hyperlink"/>
          </w:rPr>
          <w:t>HB 4137</w:t>
        </w:r>
      </w:hyperlink>
      <w:r>
        <w:t xml:space="preserve"> – Flood Insurance Act. IIA of IL along with the Illinois Insurance Association and the American Property and Casualty Insurance Association created a joint opposition letter and sent it to the sponsor Rep. Bob Morgan and Chairman Jones. The letter is attached.</w:t>
      </w:r>
    </w:p>
    <w:p w14:paraId="0BA6CB8B" w14:textId="36E6928F" w:rsidR="00F73BE9" w:rsidRDefault="00780A80" w:rsidP="00F73BE9">
      <w:pPr>
        <w:spacing w:after="160" w:line="259" w:lineRule="auto"/>
      </w:pPr>
      <w:r>
        <w:t>The Illinois General Assembly</w:t>
      </w:r>
      <w:r w:rsidR="00F73BE9">
        <w:t xml:space="preserve"> </w:t>
      </w:r>
      <w:r w:rsidR="00F73BE9" w:rsidRPr="00BB1913">
        <w:rPr>
          <w:b/>
          <w:bCs/>
        </w:rPr>
        <w:t>overr</w:t>
      </w:r>
      <w:r w:rsidRPr="00BB1913">
        <w:rPr>
          <w:b/>
          <w:bCs/>
        </w:rPr>
        <w:t>o</w:t>
      </w:r>
      <w:r w:rsidR="00F73BE9" w:rsidRPr="00BB1913">
        <w:rPr>
          <w:b/>
          <w:bCs/>
        </w:rPr>
        <w:t>de</w:t>
      </w:r>
      <w:r w:rsidR="00F73BE9">
        <w:t xml:space="preserve"> the Governor’s </w:t>
      </w:r>
      <w:r w:rsidR="00F73BE9" w:rsidRPr="00BB1913">
        <w:rPr>
          <w:b/>
          <w:bCs/>
        </w:rPr>
        <w:t>total veto</w:t>
      </w:r>
      <w:r w:rsidR="00F73BE9">
        <w:t xml:space="preserve"> of </w:t>
      </w:r>
      <w:hyperlink r:id="rId9" w:history="1">
        <w:r w:rsidR="00F73BE9">
          <w:rPr>
            <w:rStyle w:val="Hyperlink"/>
          </w:rPr>
          <w:t>HB3902</w:t>
        </w:r>
      </w:hyperlink>
      <w:r w:rsidR="00F73BE9">
        <w:t xml:space="preserve"> (</w:t>
      </w:r>
      <w:r w:rsidR="00F73BE9" w:rsidRPr="00BB1913">
        <w:rPr>
          <w:b/>
          <w:bCs/>
        </w:rPr>
        <w:t>Bristow/Crowe</w:t>
      </w:r>
      <w:r w:rsidR="00F73BE9">
        <w:t xml:space="preserve">) which reinstates a </w:t>
      </w:r>
      <w:r w:rsidR="00F73BE9" w:rsidRPr="00BB1913">
        <w:rPr>
          <w:b/>
          <w:bCs/>
        </w:rPr>
        <w:t>sales tax exemption</w:t>
      </w:r>
      <w:r w:rsidR="00F73BE9">
        <w:t xml:space="preserve"> on </w:t>
      </w:r>
      <w:r w:rsidR="00F73BE9" w:rsidRPr="00BB1913">
        <w:rPr>
          <w:b/>
          <w:bCs/>
        </w:rPr>
        <w:t>aircraft parts</w:t>
      </w:r>
      <w:r w:rsidR="00F73BE9">
        <w:t xml:space="preserve"> which had previously expired.  The bill impacts 14 aviation facilities in Illinois.  </w:t>
      </w:r>
      <w:r>
        <w:t>The bill now becomes law.</w:t>
      </w:r>
      <w:r w:rsidR="00F73BE9">
        <w:t xml:space="preserve"> </w:t>
      </w:r>
    </w:p>
    <w:p w14:paraId="4D8F2914" w14:textId="2EE647EC" w:rsidR="00657515" w:rsidRDefault="00E9282A" w:rsidP="00F73BE9">
      <w:pPr>
        <w:spacing w:after="160" w:line="259" w:lineRule="auto"/>
      </w:pPr>
      <w:r w:rsidRPr="00E9282A">
        <w:t xml:space="preserve">The </w:t>
      </w:r>
      <w:r w:rsidRPr="00BB1913">
        <w:rPr>
          <w:b/>
          <w:bCs/>
        </w:rPr>
        <w:t>House Transportation: Vehicles and Safety Committee</w:t>
      </w:r>
      <w:r w:rsidRPr="00E9282A">
        <w:t xml:space="preserve"> unanimously approved </w:t>
      </w:r>
      <w:hyperlink r:id="rId10" w:history="1">
        <w:r w:rsidRPr="00E9282A">
          <w:rPr>
            <w:rStyle w:val="Hyperlink"/>
          </w:rPr>
          <w:t>HB322</w:t>
        </w:r>
      </w:hyperlink>
      <w:r w:rsidRPr="00E9282A">
        <w:t xml:space="preserve"> (McSweeney) which  would prevent non-home rule communities from installing </w:t>
      </w:r>
      <w:r w:rsidR="004F3E4E" w:rsidRPr="00BB1913">
        <w:rPr>
          <w:b/>
          <w:bCs/>
        </w:rPr>
        <w:t>red light cameras</w:t>
      </w:r>
      <w:r w:rsidRPr="00E9282A">
        <w:t xml:space="preserve"> in the future, and also </w:t>
      </w:r>
      <w:r w:rsidR="004F3E4E">
        <w:t>require</w:t>
      </w:r>
      <w:r w:rsidRPr="00E9282A">
        <w:t xml:space="preserve"> </w:t>
      </w:r>
      <w:r w:rsidR="004F3E4E">
        <w:t>towns currently using the devices</w:t>
      </w:r>
      <w:r w:rsidRPr="00E9282A">
        <w:t xml:space="preserve"> to remove </w:t>
      </w:r>
      <w:r w:rsidR="004F3E4E">
        <w:t>them</w:t>
      </w:r>
      <w:r w:rsidRPr="00E9282A">
        <w:t xml:space="preserve"> by the start of next year. The bill is now on 2</w:t>
      </w:r>
      <w:r w:rsidRPr="00E9282A">
        <w:rPr>
          <w:vertAlign w:val="superscript"/>
        </w:rPr>
        <w:t>nd</w:t>
      </w:r>
      <w:r w:rsidRPr="00E9282A">
        <w:t xml:space="preserve"> Reading in the House.</w:t>
      </w:r>
    </w:p>
    <w:p w14:paraId="49D841A7" w14:textId="18D6764F" w:rsidR="00D27A41" w:rsidRDefault="00CE5D62" w:rsidP="00F73BE9">
      <w:pPr>
        <w:spacing w:after="160" w:line="259" w:lineRule="auto"/>
      </w:pPr>
      <w:hyperlink r:id="rId11" w:history="1">
        <w:r w:rsidR="00D27A41">
          <w:rPr>
            <w:rStyle w:val="Hyperlink"/>
          </w:rPr>
          <w:t>HB3493</w:t>
        </w:r>
      </w:hyperlink>
      <w:r w:rsidR="00D27A41">
        <w:t xml:space="preserve"> (</w:t>
      </w:r>
      <w:r w:rsidR="00D27A41" w:rsidRPr="00BB1913">
        <w:rPr>
          <w:b/>
          <w:bCs/>
        </w:rPr>
        <w:t>Guzzardi</w:t>
      </w:r>
      <w:r w:rsidR="00D27A41">
        <w:t>)</w:t>
      </w:r>
      <w:r w:rsidR="00C50853">
        <w:t>,</w:t>
      </w:r>
      <w:r w:rsidR="00D27A41">
        <w:t xml:space="preserve"> </w:t>
      </w:r>
      <w:r w:rsidR="00D27A41">
        <w:rPr>
          <w:rStyle w:val="content"/>
        </w:rPr>
        <w:t xml:space="preserve">which creates the </w:t>
      </w:r>
      <w:r w:rsidR="00D27A41" w:rsidRPr="00BB1913">
        <w:rPr>
          <w:rStyle w:val="content"/>
          <w:b/>
          <w:bCs/>
        </w:rPr>
        <w:t>Prescription Drug Affordability Act</w:t>
      </w:r>
      <w:r w:rsidR="00C50853">
        <w:rPr>
          <w:rStyle w:val="content"/>
          <w:b/>
          <w:bCs/>
        </w:rPr>
        <w:t>,</w:t>
      </w:r>
      <w:r w:rsidR="00D27A41">
        <w:rPr>
          <w:rStyle w:val="content"/>
        </w:rPr>
        <w:t xml:space="preserve"> was</w:t>
      </w:r>
      <w:r w:rsidR="00D27A41">
        <w:t xml:space="preserve"> re-assigned this week to the </w:t>
      </w:r>
      <w:r w:rsidR="00D27A41" w:rsidRPr="00BB1913">
        <w:rPr>
          <w:b/>
          <w:bCs/>
        </w:rPr>
        <w:t>House Prescription Drug Affordability and Accessibility Committee</w:t>
      </w:r>
      <w:r w:rsidR="00D27A41">
        <w:t>.  A hearing has not been scheduled at this time.</w:t>
      </w:r>
    </w:p>
    <w:p w14:paraId="4FD1504D" w14:textId="2CCD9177" w:rsidR="00D27A41" w:rsidRDefault="00D27A41" w:rsidP="00F73BE9">
      <w:pPr>
        <w:spacing w:after="160" w:line="259" w:lineRule="auto"/>
      </w:pPr>
      <w:r>
        <w:t xml:space="preserve">Noteworthy </w:t>
      </w:r>
      <w:r w:rsidRPr="00BB1913">
        <w:rPr>
          <w:b/>
          <w:bCs/>
        </w:rPr>
        <w:t>bill filings</w:t>
      </w:r>
      <w:r>
        <w:t xml:space="preserve"> from this week include:</w:t>
      </w:r>
    </w:p>
    <w:bookmarkEnd w:id="0"/>
    <w:p w14:paraId="387E7A6C" w14:textId="5C04713E" w:rsidR="00494E96" w:rsidRDefault="00CE5D62" w:rsidP="00D977BD">
      <w:pPr>
        <w:pStyle w:val="ListParagraph"/>
        <w:numPr>
          <w:ilvl w:val="0"/>
          <w:numId w:val="3"/>
        </w:numPr>
        <w:spacing w:after="160" w:line="259" w:lineRule="auto"/>
        <w:contextualSpacing w:val="0"/>
        <w:rPr>
          <w:rStyle w:val="content"/>
        </w:rPr>
      </w:pPr>
      <w:r>
        <w:fldChar w:fldCharType="begin"/>
      </w:r>
      <w:r>
        <w:instrText xml:space="preserve"> HYPERLINK "http://ilga.gov/legislation/billstatus.asp?DocNum=2888&amp;GAID=15&amp;GA=101&amp;DocTypeID=SB&amp;LegID=123923&amp;SessionID=108" </w:instrText>
      </w:r>
      <w:r>
        <w:fldChar w:fldCharType="separate"/>
      </w:r>
      <w:r w:rsidR="00494E96">
        <w:rPr>
          <w:rStyle w:val="Hyperlink"/>
        </w:rPr>
        <w:t>SB2888</w:t>
      </w:r>
      <w:r>
        <w:rPr>
          <w:rStyle w:val="Hyperlink"/>
        </w:rPr>
        <w:fldChar w:fldCharType="end"/>
      </w:r>
      <w:r w:rsidR="00494E96">
        <w:t xml:space="preserve"> (</w:t>
      </w:r>
      <w:proofErr w:type="spellStart"/>
      <w:r w:rsidR="00494E96" w:rsidRPr="00BB1913">
        <w:rPr>
          <w:b/>
          <w:bCs/>
        </w:rPr>
        <w:t>Barickman</w:t>
      </w:r>
      <w:proofErr w:type="spellEnd"/>
      <w:r w:rsidR="00494E96">
        <w:t xml:space="preserve">) </w:t>
      </w:r>
      <w:r w:rsidR="00494E96">
        <w:rPr>
          <w:rStyle w:val="content"/>
        </w:rPr>
        <w:t xml:space="preserve">Provides that provisions prohibiting </w:t>
      </w:r>
      <w:r w:rsidR="00494E96" w:rsidRPr="00BB1913">
        <w:rPr>
          <w:rStyle w:val="content"/>
          <w:b/>
          <w:bCs/>
        </w:rPr>
        <w:t>advertisement</w:t>
      </w:r>
      <w:r w:rsidR="00494E96">
        <w:rPr>
          <w:rStyle w:val="content"/>
        </w:rPr>
        <w:t xml:space="preserve"> of </w:t>
      </w:r>
      <w:r w:rsidR="00494E96" w:rsidRPr="00BB1913">
        <w:rPr>
          <w:rStyle w:val="content"/>
          <w:b/>
          <w:bCs/>
        </w:rPr>
        <w:t>cannabis</w:t>
      </w:r>
      <w:r w:rsidR="00494E96">
        <w:rPr>
          <w:rStyle w:val="content"/>
        </w:rPr>
        <w:t xml:space="preserve"> or cannabis-infused products do not apply to </w:t>
      </w:r>
      <w:r w:rsidR="00494E96" w:rsidRPr="00BB1913">
        <w:rPr>
          <w:rStyle w:val="content"/>
          <w:b/>
          <w:bCs/>
        </w:rPr>
        <w:t>newspapers</w:t>
      </w:r>
      <w:r w:rsidR="00494E96">
        <w:rPr>
          <w:rStyle w:val="content"/>
        </w:rPr>
        <w:t>.</w:t>
      </w:r>
      <w:r w:rsidR="000605B3">
        <w:rPr>
          <w:rStyle w:val="content"/>
        </w:rPr>
        <w:t xml:space="preserve"> Assigned to Senate Assignments. </w:t>
      </w:r>
    </w:p>
    <w:p w14:paraId="4B55BA81" w14:textId="1CC5BCBA" w:rsidR="00494E96" w:rsidRDefault="00CE5D62" w:rsidP="00D977BD">
      <w:pPr>
        <w:pStyle w:val="ListParagraph"/>
        <w:numPr>
          <w:ilvl w:val="0"/>
          <w:numId w:val="3"/>
        </w:numPr>
        <w:spacing w:after="160" w:line="259" w:lineRule="auto"/>
        <w:contextualSpacing w:val="0"/>
      </w:pPr>
      <w:hyperlink r:id="rId12" w:history="1">
        <w:r w:rsidR="00494E96">
          <w:rPr>
            <w:rStyle w:val="Hyperlink"/>
          </w:rPr>
          <w:t>SB2902</w:t>
        </w:r>
      </w:hyperlink>
      <w:r w:rsidR="00494E96">
        <w:t xml:space="preserve"> (</w:t>
      </w:r>
      <w:r w:rsidR="00494E96" w:rsidRPr="00BB1913">
        <w:rPr>
          <w:b/>
          <w:bCs/>
        </w:rPr>
        <w:t>Hunter</w:t>
      </w:r>
      <w:r w:rsidR="00494E96">
        <w:t>) bans the use of red</w:t>
      </w:r>
      <w:r w:rsidR="000605B3">
        <w:t>-</w:t>
      </w:r>
      <w:r w:rsidR="00494E96">
        <w:t>light cameras.</w:t>
      </w:r>
      <w:r w:rsidR="000605B3">
        <w:t xml:space="preserve"> Assigned to Senate Assignments.</w:t>
      </w:r>
    </w:p>
    <w:p w14:paraId="2657790B" w14:textId="682BC215" w:rsidR="00494E96" w:rsidRDefault="00CE5D62" w:rsidP="00D977BD">
      <w:pPr>
        <w:pStyle w:val="ListParagraph"/>
        <w:numPr>
          <w:ilvl w:val="0"/>
          <w:numId w:val="3"/>
        </w:numPr>
        <w:spacing w:after="160" w:line="259" w:lineRule="auto"/>
        <w:contextualSpacing w:val="0"/>
        <w:rPr>
          <w:rStyle w:val="content"/>
        </w:rPr>
      </w:pPr>
      <w:hyperlink r:id="rId13" w:history="1">
        <w:r w:rsidR="00494E96">
          <w:rPr>
            <w:rStyle w:val="Hyperlink"/>
          </w:rPr>
          <w:t>SB2920</w:t>
        </w:r>
      </w:hyperlink>
      <w:r w:rsidR="00494E96">
        <w:t xml:space="preserve"> (</w:t>
      </w:r>
      <w:r w:rsidR="00494E96" w:rsidRPr="00BB1913">
        <w:rPr>
          <w:b/>
          <w:bCs/>
        </w:rPr>
        <w:t>Jones</w:t>
      </w:r>
      <w:r w:rsidR="00494E96">
        <w:t xml:space="preserve">) </w:t>
      </w:r>
      <w:r w:rsidR="00494E96" w:rsidRPr="00BB1913">
        <w:rPr>
          <w:rStyle w:val="content"/>
          <w:b/>
          <w:bCs/>
        </w:rPr>
        <w:t>Creates the Plastic Straw Ban Act</w:t>
      </w:r>
      <w:r w:rsidR="00494E96">
        <w:rPr>
          <w:rStyle w:val="content"/>
        </w:rPr>
        <w:t xml:space="preserve">. </w:t>
      </w:r>
      <w:r w:rsidR="00BB1913">
        <w:rPr>
          <w:rStyle w:val="content"/>
        </w:rPr>
        <w:t>Prohibits a</w:t>
      </w:r>
      <w:r w:rsidR="00494E96">
        <w:rPr>
          <w:rStyle w:val="content"/>
        </w:rPr>
        <w:t xml:space="preserve"> bar, restaurant, or any business that sells food to the public </w:t>
      </w:r>
      <w:r w:rsidR="00BB1913">
        <w:rPr>
          <w:rStyle w:val="content"/>
        </w:rPr>
        <w:t>from giving a customer</w:t>
      </w:r>
      <w:r w:rsidR="00494E96">
        <w:rPr>
          <w:rStyle w:val="content"/>
        </w:rPr>
        <w:t xml:space="preserve"> a single-use plastic straw unless </w:t>
      </w:r>
      <w:r w:rsidR="00BB1913">
        <w:rPr>
          <w:rStyle w:val="content"/>
        </w:rPr>
        <w:t>the customer requests one</w:t>
      </w:r>
      <w:r w:rsidR="00494E96">
        <w:rPr>
          <w:rStyle w:val="content"/>
        </w:rPr>
        <w:t xml:space="preserve">. </w:t>
      </w:r>
      <w:r w:rsidR="000605B3">
        <w:rPr>
          <w:rStyle w:val="content"/>
        </w:rPr>
        <w:t xml:space="preserve">Assigned to </w:t>
      </w:r>
      <w:r w:rsidR="00BB1913">
        <w:rPr>
          <w:rStyle w:val="content"/>
        </w:rPr>
        <w:t>S</w:t>
      </w:r>
      <w:r w:rsidR="000605B3">
        <w:rPr>
          <w:rStyle w:val="content"/>
        </w:rPr>
        <w:t>enate Assignments.</w:t>
      </w:r>
    </w:p>
    <w:p w14:paraId="536B2194" w14:textId="497F6F4D" w:rsidR="00494E96" w:rsidRDefault="00CE5D62" w:rsidP="00D977BD">
      <w:pPr>
        <w:pStyle w:val="ListParagraph"/>
        <w:numPr>
          <w:ilvl w:val="0"/>
          <w:numId w:val="3"/>
        </w:numPr>
        <w:spacing w:after="160" w:line="259" w:lineRule="auto"/>
        <w:contextualSpacing w:val="0"/>
        <w:rPr>
          <w:rStyle w:val="content"/>
        </w:rPr>
      </w:pPr>
      <w:hyperlink r:id="rId14" w:history="1">
        <w:r w:rsidR="00494E96">
          <w:rPr>
            <w:rStyle w:val="Hyperlink"/>
          </w:rPr>
          <w:t>SB2746</w:t>
        </w:r>
      </w:hyperlink>
      <w:r w:rsidR="00494E96">
        <w:t xml:space="preserve"> (</w:t>
      </w:r>
      <w:r w:rsidR="00494E96" w:rsidRPr="00BB1913">
        <w:rPr>
          <w:b/>
          <w:bCs/>
        </w:rPr>
        <w:t>Morrison</w:t>
      </w:r>
      <w:r w:rsidR="00494E96">
        <w:t xml:space="preserve">) </w:t>
      </w:r>
      <w:r w:rsidR="00494E96">
        <w:rPr>
          <w:rStyle w:val="content"/>
        </w:rPr>
        <w:t xml:space="preserve">Prohibits </w:t>
      </w:r>
      <w:r w:rsidR="00494E96" w:rsidRPr="00BB1913">
        <w:rPr>
          <w:rStyle w:val="content"/>
          <w:b/>
          <w:bCs/>
        </w:rPr>
        <w:t>mandatory arbitration clauses</w:t>
      </w:r>
      <w:r w:rsidR="00494E96">
        <w:rPr>
          <w:rStyle w:val="content"/>
        </w:rPr>
        <w:t xml:space="preserve"> in fully insured life, health, or disability insurance policies.</w:t>
      </w:r>
      <w:r w:rsidR="000605B3">
        <w:rPr>
          <w:rStyle w:val="content"/>
        </w:rPr>
        <w:t xml:space="preserve">  Assigned to Senate Assignments.</w:t>
      </w:r>
    </w:p>
    <w:p w14:paraId="0A25BF80" w14:textId="7454C46E" w:rsidR="00494E96" w:rsidRDefault="00CE5D62" w:rsidP="00D977BD">
      <w:pPr>
        <w:pStyle w:val="ListParagraph"/>
        <w:numPr>
          <w:ilvl w:val="0"/>
          <w:numId w:val="3"/>
        </w:numPr>
        <w:spacing w:after="160" w:line="259" w:lineRule="auto"/>
        <w:contextualSpacing w:val="0"/>
        <w:rPr>
          <w:rStyle w:val="content"/>
        </w:rPr>
      </w:pPr>
      <w:hyperlink r:id="rId15" w:history="1">
        <w:r w:rsidR="00494E96">
          <w:rPr>
            <w:rStyle w:val="Hyperlink"/>
          </w:rPr>
          <w:t>HB4416</w:t>
        </w:r>
      </w:hyperlink>
      <w:r w:rsidR="00494E96">
        <w:t xml:space="preserve"> (</w:t>
      </w:r>
      <w:r w:rsidR="00494E96" w:rsidRPr="00BB1913">
        <w:rPr>
          <w:b/>
          <w:bCs/>
        </w:rPr>
        <w:t>DeLuca</w:t>
      </w:r>
      <w:r w:rsidR="00494E96">
        <w:t xml:space="preserve">) </w:t>
      </w:r>
      <w:r w:rsidR="00BB1913">
        <w:t xml:space="preserve">Prohibits a county from authorizing a permit for the sale of </w:t>
      </w:r>
      <w:r w:rsidR="00BB1913" w:rsidRPr="00BB1913">
        <w:rPr>
          <w:b/>
          <w:bCs/>
        </w:rPr>
        <w:t xml:space="preserve">adult use cannabis </w:t>
      </w:r>
      <w:r w:rsidR="00BB1913">
        <w:t xml:space="preserve">sales within 1.5 miles of municipalities that have banned cannabis sales.  </w:t>
      </w:r>
      <w:r w:rsidR="000605B3">
        <w:rPr>
          <w:rStyle w:val="content"/>
        </w:rPr>
        <w:t>Assigned to House Rules.</w:t>
      </w:r>
    </w:p>
    <w:p w14:paraId="360AEECD" w14:textId="34B3556A" w:rsidR="00D27A41" w:rsidRDefault="00CE5D62" w:rsidP="00D977BD">
      <w:pPr>
        <w:pStyle w:val="ListParagraph"/>
        <w:numPr>
          <w:ilvl w:val="0"/>
          <w:numId w:val="3"/>
        </w:numPr>
        <w:spacing w:after="160"/>
        <w:contextualSpacing w:val="0"/>
      </w:pPr>
      <w:hyperlink r:id="rId16" w:history="1">
        <w:r w:rsidR="00D27A41">
          <w:rPr>
            <w:rStyle w:val="Hyperlink"/>
          </w:rPr>
          <w:t>HB4514</w:t>
        </w:r>
      </w:hyperlink>
      <w:r w:rsidR="00D27A41">
        <w:rPr>
          <w:rStyle w:val="content"/>
        </w:rPr>
        <w:t xml:space="preserve"> (</w:t>
      </w:r>
      <w:r w:rsidR="00D27A41" w:rsidRPr="00BB1913">
        <w:rPr>
          <w:rStyle w:val="content"/>
          <w:b/>
          <w:bCs/>
        </w:rPr>
        <w:t>Andrade</w:t>
      </w:r>
      <w:r w:rsidR="00D27A41">
        <w:rPr>
          <w:rStyle w:val="content"/>
        </w:rPr>
        <w:t xml:space="preserve">) </w:t>
      </w:r>
      <w:r w:rsidR="00BB1913">
        <w:t>Prohibits</w:t>
      </w:r>
      <w:r w:rsidR="00D27A41">
        <w:rPr>
          <w:rStyle w:val="content"/>
        </w:rPr>
        <w:t xml:space="preserve"> a public employee or officer from influencing the use of specific vendors in the placement of </w:t>
      </w:r>
      <w:r w:rsidR="00D27A41" w:rsidRPr="00BB1913">
        <w:rPr>
          <w:rStyle w:val="content"/>
          <w:b/>
          <w:bCs/>
        </w:rPr>
        <w:t>video gaming terminals</w:t>
      </w:r>
      <w:r w:rsidR="00D27A41">
        <w:rPr>
          <w:rStyle w:val="content"/>
        </w:rPr>
        <w:t>.</w:t>
      </w:r>
      <w:r w:rsidR="00D27A41">
        <w:t xml:space="preserve">  </w:t>
      </w:r>
      <w:r w:rsidR="00D977BD">
        <w:t>Assigned</w:t>
      </w:r>
      <w:r w:rsidR="00D27A41">
        <w:t xml:space="preserve"> to House Rules.</w:t>
      </w:r>
    </w:p>
    <w:p w14:paraId="6AC5A20F" w14:textId="7685744F" w:rsidR="00D27A41" w:rsidRDefault="00CE5D62" w:rsidP="00D977BD">
      <w:pPr>
        <w:pStyle w:val="ListParagraph"/>
        <w:numPr>
          <w:ilvl w:val="0"/>
          <w:numId w:val="3"/>
        </w:numPr>
        <w:spacing w:after="160"/>
        <w:contextualSpacing w:val="0"/>
        <w:rPr>
          <w:rStyle w:val="content"/>
        </w:rPr>
      </w:pPr>
      <w:hyperlink r:id="rId17" w:history="1">
        <w:r w:rsidR="00D27A41">
          <w:rPr>
            <w:rStyle w:val="Hyperlink"/>
          </w:rPr>
          <w:t>HB4522</w:t>
        </w:r>
      </w:hyperlink>
      <w:r w:rsidR="00D27A41" w:rsidRPr="00BB1913">
        <w:t xml:space="preserve"> </w:t>
      </w:r>
      <w:r w:rsidR="00BB1913" w:rsidRPr="00BB1913">
        <w:t>(</w:t>
      </w:r>
      <w:r w:rsidR="00BB1913" w:rsidRPr="00BB1913">
        <w:rPr>
          <w:b/>
          <w:bCs/>
        </w:rPr>
        <w:t>Flowers</w:t>
      </w:r>
      <w:r w:rsidR="00BB1913" w:rsidRPr="00BB1913">
        <w:t xml:space="preserve">) </w:t>
      </w:r>
      <w:r w:rsidR="00BB1913">
        <w:t xml:space="preserve">Requires </w:t>
      </w:r>
      <w:r w:rsidR="00D27A41" w:rsidRPr="00BB1913">
        <w:rPr>
          <w:rStyle w:val="content"/>
          <w:b/>
          <w:bCs/>
        </w:rPr>
        <w:t>cannabis or cannabis-infused products</w:t>
      </w:r>
      <w:r w:rsidR="00D27A41">
        <w:rPr>
          <w:rStyle w:val="content"/>
        </w:rPr>
        <w:t xml:space="preserve"> to be tested for </w:t>
      </w:r>
      <w:r w:rsidR="00D27A41" w:rsidRPr="00BB1913">
        <w:rPr>
          <w:rStyle w:val="content"/>
          <w:b/>
          <w:bCs/>
        </w:rPr>
        <w:t>vitamin E acetate</w:t>
      </w:r>
      <w:r w:rsidR="00D27A41">
        <w:rPr>
          <w:rStyle w:val="content"/>
        </w:rPr>
        <w:t xml:space="preserve">. </w:t>
      </w:r>
      <w:r w:rsidR="00BB1913">
        <w:rPr>
          <w:rStyle w:val="content"/>
        </w:rPr>
        <w:t xml:space="preserve">If any sample fails the test, the entire batch must be recalled.  </w:t>
      </w:r>
      <w:r w:rsidR="00D27A41">
        <w:rPr>
          <w:rStyle w:val="content"/>
        </w:rPr>
        <w:t xml:space="preserve"> Prohibits cannabis and cannabis-infused products from containing vitamin E acetate.  </w:t>
      </w:r>
      <w:r w:rsidR="00D977BD">
        <w:rPr>
          <w:rStyle w:val="content"/>
        </w:rPr>
        <w:t>Assigned to House Rules</w:t>
      </w:r>
      <w:r w:rsidR="00C50853">
        <w:rPr>
          <w:rStyle w:val="content"/>
        </w:rPr>
        <w:t>.</w:t>
      </w:r>
    </w:p>
    <w:p w14:paraId="1043EDEC" w14:textId="77777777" w:rsidR="00D5627A" w:rsidRPr="00D5627A" w:rsidRDefault="00D5627A" w:rsidP="00D5627A">
      <w:pPr>
        <w:rPr>
          <w:rFonts w:cstheme="minorHAnsi"/>
          <w:b/>
          <w:bCs/>
          <w:sz w:val="28"/>
          <w:szCs w:val="28"/>
          <w:u w:val="single"/>
        </w:rPr>
      </w:pPr>
      <w:r w:rsidRPr="00D5627A">
        <w:rPr>
          <w:rFonts w:eastAsia="Times New Roman" w:cstheme="minorHAnsi"/>
          <w:b/>
          <w:bCs/>
          <w:sz w:val="28"/>
          <w:szCs w:val="28"/>
        </w:rPr>
        <w:t>COMING UP:</w:t>
      </w:r>
      <w:r w:rsidRPr="00D5627A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39183D86" w14:textId="7EF234A1" w:rsidR="00100AC4" w:rsidRDefault="00100AC4" w:rsidP="00100AC4">
      <w:r>
        <w:rPr>
          <w:rFonts w:cstheme="minorHAnsi"/>
        </w:rPr>
        <w:t xml:space="preserve">The Illinois General Assembly adjourned until </w:t>
      </w:r>
      <w:r w:rsidRPr="00BB1913">
        <w:rPr>
          <w:rFonts w:cstheme="minorHAnsi"/>
          <w:b/>
          <w:bCs/>
        </w:rPr>
        <w:t>Tuesday, Feb. 18</w:t>
      </w:r>
      <w:r w:rsidRPr="00BB1913">
        <w:rPr>
          <w:rFonts w:cstheme="minorHAnsi"/>
          <w:b/>
          <w:bCs/>
          <w:vertAlign w:val="superscript"/>
        </w:rPr>
        <w:t>th</w:t>
      </w:r>
      <w:r w:rsidR="00D977BD">
        <w:rPr>
          <w:rFonts w:cstheme="minorHAnsi"/>
        </w:rPr>
        <w:t xml:space="preserve"> at noon.</w:t>
      </w:r>
      <w:r>
        <w:rPr>
          <w:rFonts w:cstheme="minorHAnsi"/>
        </w:rPr>
        <w:t xml:space="preserve">  </w:t>
      </w:r>
      <w:r w:rsidRPr="00BB1913">
        <w:rPr>
          <w:rFonts w:cstheme="minorHAnsi"/>
          <w:b/>
          <w:bCs/>
        </w:rPr>
        <w:t xml:space="preserve">Friday, </w:t>
      </w:r>
      <w:r w:rsidRPr="00BB1913">
        <w:rPr>
          <w:b/>
          <w:bCs/>
        </w:rPr>
        <w:t>Feb. 14</w:t>
      </w:r>
      <w:r w:rsidRPr="00BB1913">
        <w:rPr>
          <w:b/>
          <w:bCs/>
          <w:vertAlign w:val="superscript"/>
        </w:rPr>
        <w:t>th</w:t>
      </w:r>
      <w:r>
        <w:t xml:space="preserve"> is the </w:t>
      </w:r>
      <w:r w:rsidRPr="00BB1913">
        <w:rPr>
          <w:b/>
          <w:bCs/>
        </w:rPr>
        <w:t>deadline to file substantive legislation</w:t>
      </w:r>
      <w:r>
        <w:t xml:space="preserve"> in both chambers.  </w:t>
      </w:r>
      <w:r w:rsidRPr="00BB1913">
        <w:rPr>
          <w:b/>
          <w:bCs/>
        </w:rPr>
        <w:t>Gov.  JB Pritzker</w:t>
      </w:r>
      <w:r>
        <w:t xml:space="preserve"> will deliver his </w:t>
      </w:r>
      <w:r w:rsidRPr="00BB1913">
        <w:rPr>
          <w:b/>
          <w:bCs/>
        </w:rPr>
        <w:t>FY 2021 budget</w:t>
      </w:r>
      <w:r>
        <w:t xml:space="preserve"> to a joint session of the General Assembly on </w:t>
      </w:r>
      <w:r w:rsidRPr="00BB1913">
        <w:rPr>
          <w:b/>
          <w:bCs/>
        </w:rPr>
        <w:t>Wednesday, Feb.  19</w:t>
      </w:r>
      <w:r w:rsidRPr="00BB1913">
        <w:rPr>
          <w:b/>
          <w:bCs/>
          <w:vertAlign w:val="superscript"/>
        </w:rPr>
        <w:t>th</w:t>
      </w:r>
      <w:r>
        <w:t xml:space="preserve">. </w:t>
      </w:r>
      <w:r w:rsidR="00B20550">
        <w:t>Committee hearings are expected to intensify in the coming weeks.</w:t>
      </w:r>
    </w:p>
    <w:p w14:paraId="2F9F7E6C" w14:textId="77777777" w:rsidR="00F10553" w:rsidRDefault="00F10553" w:rsidP="00F10553"/>
    <w:p w14:paraId="40D0A49F" w14:textId="1F48317E" w:rsidR="00F10553" w:rsidRPr="008C1613" w:rsidRDefault="00F10553" w:rsidP="00F10553">
      <w:pPr>
        <w:rPr>
          <w:rFonts w:ascii="Times New Roman" w:hAnsi="Times New Roman" w:cs="Times New Roman"/>
          <w:sz w:val="32"/>
          <w:szCs w:val="32"/>
        </w:rPr>
      </w:pPr>
      <w:r>
        <w:t xml:space="preserve">The </w:t>
      </w:r>
      <w:r w:rsidRPr="00F10553">
        <w:rPr>
          <w:b/>
          <w:bCs/>
        </w:rPr>
        <w:t>Senate Criminal Law Committee</w:t>
      </w:r>
      <w:r>
        <w:t xml:space="preserve"> will hold joint subject matter hearing with the </w:t>
      </w:r>
      <w:r w:rsidRPr="00F10553">
        <w:rPr>
          <w:b/>
          <w:bCs/>
        </w:rPr>
        <w:t>Senate Special Committee on Public Safety and House Judiciary-Criminal Committee</w:t>
      </w:r>
      <w:r>
        <w:t xml:space="preserve"> on </w:t>
      </w:r>
      <w:r w:rsidRPr="00F10553">
        <w:rPr>
          <w:b/>
          <w:bCs/>
        </w:rPr>
        <w:t>Feb. 13</w:t>
      </w:r>
      <w:r w:rsidRPr="00F10553">
        <w:rPr>
          <w:b/>
          <w:bCs/>
          <w:vertAlign w:val="superscript"/>
        </w:rPr>
        <w:t>th</w:t>
      </w:r>
      <w:r>
        <w:t xml:space="preserve"> at 10am in in the </w:t>
      </w:r>
      <w:proofErr w:type="spellStart"/>
      <w:r>
        <w:t>Bilandic</w:t>
      </w:r>
      <w:proofErr w:type="spellEnd"/>
      <w:r>
        <w:t xml:space="preserve"> Building in Chicago to discuss </w:t>
      </w:r>
      <w:r w:rsidRPr="00F10553">
        <w:rPr>
          <w:b/>
          <w:bCs/>
        </w:rPr>
        <w:t>the</w:t>
      </w:r>
      <w:r>
        <w:t xml:space="preserve"> </w:t>
      </w:r>
      <w:r w:rsidRPr="00F10553">
        <w:rPr>
          <w:b/>
          <w:bCs/>
        </w:rPr>
        <w:t>state of criminal justice in Illinois</w:t>
      </w:r>
      <w:r>
        <w:t>.</w:t>
      </w:r>
    </w:p>
    <w:p w14:paraId="61D6D879" w14:textId="77777777" w:rsidR="00D5627A" w:rsidRDefault="00D5627A" w:rsidP="00D5627A">
      <w:pPr>
        <w:rPr>
          <w:rFonts w:cstheme="minorHAnsi"/>
          <w:b/>
          <w:bCs/>
          <w:u w:val="single"/>
        </w:rPr>
      </w:pPr>
    </w:p>
    <w:p w14:paraId="3544BF5B" w14:textId="387B00B4" w:rsidR="00D5627A" w:rsidRPr="00034671" w:rsidRDefault="00D5627A" w:rsidP="00D5627A">
      <w:pPr>
        <w:rPr>
          <w:rFonts w:cstheme="minorHAnsi"/>
          <w:b/>
          <w:bCs/>
          <w:u w:val="single"/>
        </w:rPr>
      </w:pPr>
      <w:r w:rsidRPr="00034671">
        <w:rPr>
          <w:rFonts w:cstheme="minorHAnsi"/>
          <w:b/>
          <w:bCs/>
          <w:u w:val="single"/>
        </w:rPr>
        <w:t>Key 2020 Session Dates:</w:t>
      </w:r>
    </w:p>
    <w:p w14:paraId="763377BC" w14:textId="77777777" w:rsidR="00D5627A" w:rsidRPr="00034671" w:rsidRDefault="00D5627A" w:rsidP="00D5627A">
      <w:pPr>
        <w:rPr>
          <w:rFonts w:cstheme="minorHAnsi"/>
        </w:rPr>
      </w:pPr>
      <w:r w:rsidRPr="00034671">
        <w:rPr>
          <w:rFonts w:cstheme="minorHAnsi"/>
        </w:rPr>
        <w:t>February 14</w:t>
      </w:r>
      <w:r w:rsidRPr="00034671">
        <w:rPr>
          <w:rFonts w:cstheme="minorHAnsi"/>
          <w:vertAlign w:val="superscript"/>
        </w:rPr>
        <w:t>th</w:t>
      </w:r>
      <w:r w:rsidRPr="00034671">
        <w:rPr>
          <w:rFonts w:cstheme="minorHAnsi"/>
        </w:rPr>
        <w:t>: Bill filing deadline both chambers</w:t>
      </w:r>
    </w:p>
    <w:p w14:paraId="2F855631" w14:textId="77777777" w:rsidR="00D5627A" w:rsidRPr="00034671" w:rsidRDefault="00D5627A" w:rsidP="00D5627A">
      <w:pPr>
        <w:rPr>
          <w:rFonts w:cstheme="minorHAnsi"/>
        </w:rPr>
      </w:pPr>
      <w:r w:rsidRPr="00034671">
        <w:rPr>
          <w:rFonts w:cstheme="minorHAnsi"/>
        </w:rPr>
        <w:t>February 19</w:t>
      </w:r>
      <w:r w:rsidRPr="00034671">
        <w:rPr>
          <w:rFonts w:cstheme="minorHAnsi"/>
          <w:vertAlign w:val="superscript"/>
        </w:rPr>
        <w:t>th</w:t>
      </w:r>
      <w:r w:rsidRPr="00034671">
        <w:rPr>
          <w:rFonts w:cstheme="minorHAnsi"/>
        </w:rPr>
        <w:t>: Governor’s Budget Address</w:t>
      </w:r>
    </w:p>
    <w:p w14:paraId="2948690C" w14:textId="58458E15" w:rsidR="00D5627A" w:rsidRDefault="00D5627A" w:rsidP="00D5627A">
      <w:pPr>
        <w:rPr>
          <w:rFonts w:cstheme="minorHAnsi"/>
        </w:rPr>
      </w:pPr>
      <w:r w:rsidRPr="00034671">
        <w:rPr>
          <w:rFonts w:cstheme="minorHAnsi"/>
        </w:rPr>
        <w:t>March 17</w:t>
      </w:r>
      <w:r w:rsidRPr="00034671">
        <w:rPr>
          <w:rFonts w:cstheme="minorHAnsi"/>
          <w:vertAlign w:val="superscript"/>
        </w:rPr>
        <w:t>th</w:t>
      </w:r>
      <w:r w:rsidRPr="00034671">
        <w:rPr>
          <w:rFonts w:cstheme="minorHAnsi"/>
        </w:rPr>
        <w:t>: Primary Election</w:t>
      </w:r>
    </w:p>
    <w:p w14:paraId="7F68B203" w14:textId="3738D453" w:rsidR="00E549D6" w:rsidRPr="00E549D6" w:rsidRDefault="00E549D6" w:rsidP="00D5627A">
      <w:pPr>
        <w:rPr>
          <w:rFonts w:cstheme="minorHAnsi"/>
          <w:b/>
          <w:bCs/>
        </w:rPr>
      </w:pPr>
      <w:r w:rsidRPr="00E549D6">
        <w:rPr>
          <w:rFonts w:cstheme="minorHAnsi"/>
          <w:b/>
          <w:bCs/>
          <w:highlight w:val="yellow"/>
        </w:rPr>
        <w:t>March 18</w:t>
      </w:r>
      <w:r w:rsidRPr="00E549D6">
        <w:rPr>
          <w:rFonts w:cstheme="minorHAnsi"/>
          <w:b/>
          <w:bCs/>
          <w:highlight w:val="yellow"/>
          <w:vertAlign w:val="superscript"/>
        </w:rPr>
        <w:t>th</w:t>
      </w:r>
      <w:r w:rsidRPr="00E549D6">
        <w:rPr>
          <w:rFonts w:cstheme="minorHAnsi"/>
          <w:b/>
          <w:bCs/>
          <w:highlight w:val="yellow"/>
        </w:rPr>
        <w:t>: Insurance Industry Legislative Day</w:t>
      </w:r>
    </w:p>
    <w:p w14:paraId="59F2C3A1" w14:textId="77777777" w:rsidR="00D5627A" w:rsidRPr="00034671" w:rsidRDefault="00D5627A" w:rsidP="00D5627A">
      <w:pPr>
        <w:rPr>
          <w:rFonts w:cstheme="minorHAnsi"/>
        </w:rPr>
      </w:pPr>
      <w:r w:rsidRPr="00034671">
        <w:rPr>
          <w:rFonts w:cstheme="minorHAnsi"/>
        </w:rPr>
        <w:t>March 27</w:t>
      </w:r>
      <w:r w:rsidRPr="00034671">
        <w:rPr>
          <w:rFonts w:cstheme="minorHAnsi"/>
          <w:vertAlign w:val="superscript"/>
        </w:rPr>
        <w:t>th</w:t>
      </w:r>
      <w:r w:rsidRPr="00034671">
        <w:rPr>
          <w:rFonts w:cstheme="minorHAnsi"/>
        </w:rPr>
        <w:t>:  Committee deadline for substantive bills</w:t>
      </w:r>
    </w:p>
    <w:p w14:paraId="5147E243" w14:textId="77777777" w:rsidR="00D5627A" w:rsidRPr="00034671" w:rsidRDefault="00D5627A" w:rsidP="00D5627A">
      <w:pPr>
        <w:rPr>
          <w:rFonts w:cstheme="minorHAnsi"/>
        </w:rPr>
      </w:pPr>
      <w:r w:rsidRPr="00034671">
        <w:rPr>
          <w:rFonts w:cstheme="minorHAnsi"/>
        </w:rPr>
        <w:t>April 6</w:t>
      </w:r>
      <w:r w:rsidRPr="00034671">
        <w:rPr>
          <w:rFonts w:cstheme="minorHAnsi"/>
          <w:vertAlign w:val="superscript"/>
        </w:rPr>
        <w:t>th</w:t>
      </w:r>
      <w:r w:rsidRPr="00034671">
        <w:rPr>
          <w:rFonts w:cstheme="minorHAnsi"/>
        </w:rPr>
        <w:t xml:space="preserve"> – 17</w:t>
      </w:r>
      <w:r w:rsidRPr="00034671">
        <w:rPr>
          <w:rFonts w:cstheme="minorHAnsi"/>
          <w:vertAlign w:val="superscript"/>
        </w:rPr>
        <w:t>th</w:t>
      </w:r>
      <w:r w:rsidRPr="00034671">
        <w:rPr>
          <w:rFonts w:cstheme="minorHAnsi"/>
        </w:rPr>
        <w:t>:  Spring Break</w:t>
      </w:r>
    </w:p>
    <w:p w14:paraId="4DBFF7F6" w14:textId="77777777" w:rsidR="00D5627A" w:rsidRPr="00034671" w:rsidRDefault="00D5627A" w:rsidP="00D5627A">
      <w:pPr>
        <w:rPr>
          <w:rFonts w:cstheme="minorHAnsi"/>
        </w:rPr>
      </w:pPr>
      <w:r w:rsidRPr="00034671">
        <w:rPr>
          <w:rFonts w:cstheme="minorHAnsi"/>
        </w:rPr>
        <w:t>April 24</w:t>
      </w:r>
      <w:r w:rsidRPr="00034671">
        <w:rPr>
          <w:rFonts w:cstheme="minorHAnsi"/>
          <w:vertAlign w:val="superscript"/>
        </w:rPr>
        <w:t>th</w:t>
      </w:r>
      <w:r w:rsidRPr="00034671">
        <w:rPr>
          <w:rFonts w:cstheme="minorHAnsi"/>
        </w:rPr>
        <w:t>:  3</w:t>
      </w:r>
      <w:r w:rsidRPr="00034671">
        <w:rPr>
          <w:rFonts w:cstheme="minorHAnsi"/>
          <w:vertAlign w:val="superscript"/>
        </w:rPr>
        <w:t>rd</w:t>
      </w:r>
      <w:r w:rsidRPr="00034671">
        <w:rPr>
          <w:rFonts w:cstheme="minorHAnsi"/>
        </w:rPr>
        <w:t xml:space="preserve"> Reading deadline for substantive bills</w:t>
      </w:r>
    </w:p>
    <w:p w14:paraId="5898671E" w14:textId="77777777" w:rsidR="00D5627A" w:rsidRPr="00034671" w:rsidRDefault="00D5627A" w:rsidP="00D5627A">
      <w:pPr>
        <w:rPr>
          <w:rFonts w:cstheme="minorHAnsi"/>
        </w:rPr>
      </w:pPr>
      <w:r w:rsidRPr="00034671">
        <w:rPr>
          <w:rFonts w:cstheme="minorHAnsi"/>
        </w:rPr>
        <w:t>May 15</w:t>
      </w:r>
      <w:r w:rsidRPr="00034671">
        <w:rPr>
          <w:rFonts w:cstheme="minorHAnsi"/>
          <w:vertAlign w:val="superscript"/>
        </w:rPr>
        <w:t>th</w:t>
      </w:r>
      <w:r w:rsidRPr="00034671">
        <w:rPr>
          <w:rFonts w:cstheme="minorHAnsi"/>
        </w:rPr>
        <w:t>:  Committee deadline for substantive bills in second chamber</w:t>
      </w:r>
    </w:p>
    <w:p w14:paraId="66ECC704" w14:textId="77777777" w:rsidR="00AB1B36" w:rsidRDefault="00D5627A" w:rsidP="00AB1B36">
      <w:pPr>
        <w:rPr>
          <w:rFonts w:cstheme="minorHAnsi"/>
        </w:rPr>
      </w:pPr>
      <w:r w:rsidRPr="00034671">
        <w:rPr>
          <w:rFonts w:cstheme="minorHAnsi"/>
        </w:rPr>
        <w:t>May 22</w:t>
      </w:r>
      <w:r w:rsidRPr="00034671">
        <w:rPr>
          <w:rFonts w:cstheme="minorHAnsi"/>
          <w:vertAlign w:val="superscript"/>
        </w:rPr>
        <w:t>nd</w:t>
      </w:r>
      <w:r w:rsidRPr="00034671">
        <w:rPr>
          <w:rFonts w:cstheme="minorHAnsi"/>
        </w:rPr>
        <w:t>:  3</w:t>
      </w:r>
      <w:r w:rsidRPr="00034671">
        <w:rPr>
          <w:rFonts w:cstheme="minorHAnsi"/>
          <w:vertAlign w:val="superscript"/>
        </w:rPr>
        <w:t>rd</w:t>
      </w:r>
      <w:r w:rsidRPr="00034671">
        <w:rPr>
          <w:rFonts w:cstheme="minorHAnsi"/>
        </w:rPr>
        <w:t xml:space="preserve"> Reading deadline for substantive bills in second chamber </w:t>
      </w:r>
    </w:p>
    <w:p w14:paraId="18552BB4" w14:textId="3EC610E5" w:rsidR="00095CFA" w:rsidRPr="0035231A" w:rsidRDefault="00D5627A">
      <w:pPr>
        <w:rPr>
          <w:rFonts w:cstheme="minorHAnsi"/>
        </w:rPr>
      </w:pPr>
      <w:r w:rsidRPr="00034671">
        <w:rPr>
          <w:rFonts w:cstheme="minorHAnsi"/>
        </w:rPr>
        <w:t>May 31</w:t>
      </w:r>
      <w:r w:rsidRPr="00034671">
        <w:rPr>
          <w:rFonts w:cstheme="minorHAnsi"/>
          <w:vertAlign w:val="superscript"/>
        </w:rPr>
        <w:t>st</w:t>
      </w:r>
      <w:r w:rsidRPr="00034671">
        <w:rPr>
          <w:rFonts w:cstheme="minorHAnsi"/>
        </w:rPr>
        <w:t>:  Adjournment</w:t>
      </w:r>
      <w:bookmarkStart w:id="1" w:name="_GoBack"/>
      <w:bookmarkEnd w:id="1"/>
    </w:p>
    <w:sectPr w:rsidR="00095CFA" w:rsidRPr="00352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31EF"/>
    <w:multiLevelType w:val="hybridMultilevel"/>
    <w:tmpl w:val="9E349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59C1"/>
    <w:multiLevelType w:val="hybridMultilevel"/>
    <w:tmpl w:val="24F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70FD0"/>
    <w:multiLevelType w:val="hybridMultilevel"/>
    <w:tmpl w:val="8F8E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7F03"/>
    <w:multiLevelType w:val="hybridMultilevel"/>
    <w:tmpl w:val="E844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1A"/>
    <w:rsid w:val="00012CED"/>
    <w:rsid w:val="000605B3"/>
    <w:rsid w:val="00095CFA"/>
    <w:rsid w:val="000A2A7D"/>
    <w:rsid w:val="00100AC4"/>
    <w:rsid w:val="001B4048"/>
    <w:rsid w:val="001F05EF"/>
    <w:rsid w:val="0022447F"/>
    <w:rsid w:val="002568B6"/>
    <w:rsid w:val="002B3430"/>
    <w:rsid w:val="0035231A"/>
    <w:rsid w:val="003853D7"/>
    <w:rsid w:val="00494E96"/>
    <w:rsid w:val="004F3E4E"/>
    <w:rsid w:val="00657515"/>
    <w:rsid w:val="007243DC"/>
    <w:rsid w:val="00780A80"/>
    <w:rsid w:val="0079605A"/>
    <w:rsid w:val="007B0630"/>
    <w:rsid w:val="00A76704"/>
    <w:rsid w:val="00AB1B36"/>
    <w:rsid w:val="00AD182A"/>
    <w:rsid w:val="00B20550"/>
    <w:rsid w:val="00BB1913"/>
    <w:rsid w:val="00BE6B16"/>
    <w:rsid w:val="00C01D6E"/>
    <w:rsid w:val="00C071E7"/>
    <w:rsid w:val="00C50853"/>
    <w:rsid w:val="00CE5D62"/>
    <w:rsid w:val="00D27A41"/>
    <w:rsid w:val="00D5627A"/>
    <w:rsid w:val="00D977BD"/>
    <w:rsid w:val="00DA0BBF"/>
    <w:rsid w:val="00E14637"/>
    <w:rsid w:val="00E549D6"/>
    <w:rsid w:val="00E9282A"/>
    <w:rsid w:val="00F10553"/>
    <w:rsid w:val="00F73BE9"/>
    <w:rsid w:val="00FB3205"/>
    <w:rsid w:val="00F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99A8"/>
  <w15:chartTrackingRefBased/>
  <w15:docId w15:val="{E24E9D07-C085-461B-BE5D-9B57B231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231A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3523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23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52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231A"/>
    <w:rPr>
      <w:b/>
      <w:bCs/>
    </w:rPr>
  </w:style>
  <w:style w:type="character" w:styleId="Emphasis">
    <w:name w:val="Emphasis"/>
    <w:basedOn w:val="DefaultParagraphFont"/>
    <w:uiPriority w:val="20"/>
    <w:qFormat/>
    <w:rsid w:val="0035231A"/>
    <w:rPr>
      <w:i/>
      <w:iCs/>
    </w:rPr>
  </w:style>
  <w:style w:type="paragraph" w:styleId="ListParagraph">
    <w:name w:val="List Paragraph"/>
    <w:basedOn w:val="Normal"/>
    <w:uiPriority w:val="34"/>
    <w:qFormat/>
    <w:rsid w:val="001B4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AC4"/>
    <w:rPr>
      <w:color w:val="0563C1" w:themeColor="hyperlink"/>
      <w:u w:val="single"/>
    </w:rPr>
  </w:style>
  <w:style w:type="character" w:customStyle="1" w:styleId="content">
    <w:name w:val="content"/>
    <w:basedOn w:val="DefaultParagraphFont"/>
    <w:rsid w:val="00100AC4"/>
  </w:style>
  <w:style w:type="character" w:styleId="UnresolvedMention">
    <w:name w:val="Unresolved Mention"/>
    <w:basedOn w:val="DefaultParagraphFont"/>
    <w:uiPriority w:val="99"/>
    <w:semiHidden/>
    <w:unhideWhenUsed/>
    <w:rsid w:val="00F73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ga.gov/legislation/fulltext.asp?DocName=&amp;SessionId=108&amp;GA=101&amp;DocTypeId=HB&amp;DocNum=4137&amp;GAID=15&amp;LegID=123083&amp;SpecSess=&amp;Session=" TargetMode="External"/><Relationship Id="rId13" Type="http://schemas.openxmlformats.org/officeDocument/2006/relationships/hyperlink" Target="http://ilga.gov/legislation/billstatus.asp?DocNum=2920&amp;GAID=15&amp;GA=101&amp;DocTypeID=SB&amp;LegID=123993&amp;SessionID=1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illinois.gov/dceo/AboutDCEO/GATA/Pages/2366-1333.aspx" TargetMode="External"/><Relationship Id="rId12" Type="http://schemas.openxmlformats.org/officeDocument/2006/relationships/hyperlink" Target="http://ilga.gov/legislation/billstatus.asp?DocNum=2902&amp;GAID=15&amp;GA=101&amp;DocTypeID=SB&amp;LegID=123950&amp;SessionID=108" TargetMode="External"/><Relationship Id="rId17" Type="http://schemas.openxmlformats.org/officeDocument/2006/relationships/hyperlink" Target="http://ilga.gov/legislation/billstatus.asp?DocNum=4522&amp;GAID=15&amp;GA=101&amp;DocTypeID=HB&amp;LegID=124167&amp;SessionID=108" TargetMode="External"/><Relationship Id="rId2" Type="http://schemas.openxmlformats.org/officeDocument/2006/relationships/styles" Target="styles.xml"/><Relationship Id="rId16" Type="http://schemas.openxmlformats.org/officeDocument/2006/relationships/hyperlink" Target="http://ilga.gov/legislation/billstatus.asp?DocNum=4514&amp;GAID=15&amp;GA=101&amp;DocTypeID=HB&amp;LegID=124105&amp;SessionID=1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illinois.gov/Pages/news-item.aspx?ReleaseID=21130" TargetMode="External"/><Relationship Id="rId11" Type="http://schemas.openxmlformats.org/officeDocument/2006/relationships/hyperlink" Target="http://ilga.gov/legislation/billstatus.asp?DocNum=3493&amp;GAID=15&amp;GA=101&amp;DocTypeID=HB&amp;LegID=120105&amp;SessionID=108" TargetMode="External"/><Relationship Id="rId5" Type="http://schemas.openxmlformats.org/officeDocument/2006/relationships/hyperlink" Target="http://www.illinois.gov/dhr/training" TargetMode="External"/><Relationship Id="rId15" Type="http://schemas.openxmlformats.org/officeDocument/2006/relationships/hyperlink" Target="http://ilga.gov/legislation/billstatus.asp?DocNum=4416&amp;GAID=15&amp;GA=101&amp;DocTypeID=HB&amp;LegID=123780&amp;SessionID=108" TargetMode="External"/><Relationship Id="rId10" Type="http://schemas.openxmlformats.org/officeDocument/2006/relationships/hyperlink" Target="http://ilga.gov/legislation/billstatus.asp?DocNum=322&amp;GAID=15&amp;GA=101&amp;DocTypeID=HB&amp;LegID=114470&amp;SessionID=10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lga.gov/legislation/billstatus.asp?DocNum=3902&amp;GAID=15&amp;GA=101&amp;DocTypeID=HB&amp;LegID=122033&amp;SessionID=108" TargetMode="External"/><Relationship Id="rId14" Type="http://schemas.openxmlformats.org/officeDocument/2006/relationships/hyperlink" Target="http://ilga.gov/legislation/billstatus.asp?DocNum=2746&amp;GAID=15&amp;GA=101&amp;DocTypeID=SB&amp;LegID=123684&amp;SessionID=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Lounsberry</dc:creator>
  <cp:keywords/>
  <dc:description/>
  <cp:lastModifiedBy>Evan Manning</cp:lastModifiedBy>
  <cp:revision>3</cp:revision>
  <dcterms:created xsi:type="dcterms:W3CDTF">2020-02-07T15:18:00Z</dcterms:created>
  <dcterms:modified xsi:type="dcterms:W3CDTF">2020-02-07T15:18:00Z</dcterms:modified>
</cp:coreProperties>
</file>