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46415" w14:textId="77777777" w:rsidR="00884B34" w:rsidRPr="00884B34" w:rsidRDefault="00884B34">
      <w:pPr>
        <w:rPr>
          <w:b/>
          <w:bCs/>
          <w:sz w:val="28"/>
          <w:szCs w:val="28"/>
        </w:rPr>
      </w:pPr>
      <w:r w:rsidRPr="00884B34">
        <w:rPr>
          <w:b/>
          <w:bCs/>
          <w:sz w:val="28"/>
          <w:szCs w:val="28"/>
        </w:rPr>
        <w:t>GOVERNOR’S HIGHLIGHTS:</w:t>
      </w:r>
    </w:p>
    <w:p w14:paraId="51B0CA00" w14:textId="7B4AC926" w:rsidR="00095CFA" w:rsidRDefault="008350CF">
      <w:r>
        <w:t xml:space="preserve">The </w:t>
      </w:r>
      <w:r w:rsidRPr="0091542C">
        <w:rPr>
          <w:b/>
          <w:bCs/>
        </w:rPr>
        <w:t>Department of Insurance</w:t>
      </w:r>
      <w:r>
        <w:t xml:space="preserve"> issued guidance to Insurance companies regarding the </w:t>
      </w:r>
      <w:r w:rsidR="00860507" w:rsidRPr="0091542C">
        <w:rPr>
          <w:b/>
          <w:bCs/>
        </w:rPr>
        <w:t>Corona</w:t>
      </w:r>
      <w:r w:rsidRPr="0091542C">
        <w:rPr>
          <w:b/>
          <w:bCs/>
        </w:rPr>
        <w:t xml:space="preserve"> virus</w:t>
      </w:r>
      <w:r>
        <w:t xml:space="preserve">. </w:t>
      </w:r>
      <w:r w:rsidR="00860507">
        <w:t xml:space="preserve">The Department offers guidance on balance billing, cost-sharing barriers, prescription drug supply, denial or termination of coverage, travel insurance and public education. </w:t>
      </w:r>
      <w:r>
        <w:t xml:space="preserve"> A copy of the memo is </w:t>
      </w:r>
      <w:hyperlink r:id="rId5" w:history="1">
        <w:r>
          <w:rPr>
            <w:rStyle w:val="Hyperlink"/>
          </w:rPr>
          <w:t>here.</w:t>
        </w:r>
      </w:hyperlink>
      <w:r w:rsidR="00C21473">
        <w:t xml:space="preserve">  </w:t>
      </w:r>
      <w:bookmarkStart w:id="0" w:name="_Hlk34223935"/>
      <w:r w:rsidR="00C21473">
        <w:t xml:space="preserve">The Department of Insurance also posted answers to frequently asked questions </w:t>
      </w:r>
      <w:hyperlink r:id="rId6" w:history="1">
        <w:r w:rsidR="00C21473">
          <w:rPr>
            <w:rStyle w:val="Hyperlink"/>
          </w:rPr>
          <w:t>here</w:t>
        </w:r>
      </w:hyperlink>
      <w:r w:rsidR="00C21473">
        <w:t xml:space="preserve"> .</w:t>
      </w:r>
      <w:bookmarkEnd w:id="0"/>
    </w:p>
    <w:p w14:paraId="7F13C371" w14:textId="3B757121" w:rsidR="007E1E3B" w:rsidRDefault="007E1E3B">
      <w:r w:rsidRPr="0091542C">
        <w:rPr>
          <w:b/>
          <w:bCs/>
        </w:rPr>
        <w:t>Adult use cannabis sales</w:t>
      </w:r>
      <w:r>
        <w:t xml:space="preserve"> totaled roughly </w:t>
      </w:r>
      <w:r w:rsidRPr="0091542C">
        <w:rPr>
          <w:b/>
          <w:bCs/>
        </w:rPr>
        <w:t>$35 million</w:t>
      </w:r>
      <w:r>
        <w:t xml:space="preserve"> for the second month of legalized sales</w:t>
      </w:r>
      <w:r w:rsidR="00493B46">
        <w:t>, bringing the two-month total to nearly $75million in sales</w:t>
      </w:r>
      <w:r>
        <w:t xml:space="preserve">. </w:t>
      </w:r>
      <w:r w:rsidR="00493B46">
        <w:t>In February, s</w:t>
      </w:r>
      <w:r>
        <w:t>ales to Illinois residents totaled $25,615,371; sales to out-of-state residents totaled $9,189,701.01.</w:t>
      </w:r>
    </w:p>
    <w:p w14:paraId="25C57F6B" w14:textId="77777777" w:rsidR="00860507" w:rsidRPr="00860507" w:rsidRDefault="00860507" w:rsidP="00860507">
      <w:pPr>
        <w:rPr>
          <w:rStyle w:val="Strong"/>
          <w:b w:val="0"/>
          <w:bCs w:val="0"/>
        </w:rPr>
      </w:pPr>
      <w:r w:rsidRPr="0091542C">
        <w:rPr>
          <w:rStyle w:val="Strong"/>
        </w:rPr>
        <w:t>Governor Pritzker</w:t>
      </w:r>
      <w:r w:rsidRPr="00860507">
        <w:rPr>
          <w:rStyle w:val="Strong"/>
          <w:b w:val="0"/>
          <w:bCs w:val="0"/>
        </w:rPr>
        <w:t xml:space="preserve"> made the following </w:t>
      </w:r>
      <w:r w:rsidRPr="0091542C">
        <w:rPr>
          <w:rStyle w:val="Strong"/>
        </w:rPr>
        <w:t>appointments</w:t>
      </w:r>
      <w:r w:rsidRPr="00860507">
        <w:rPr>
          <w:rStyle w:val="Strong"/>
          <w:b w:val="0"/>
          <w:bCs w:val="0"/>
        </w:rPr>
        <w:t>:</w:t>
      </w:r>
    </w:p>
    <w:p w14:paraId="795F02E1" w14:textId="47C2A311" w:rsidR="00860507" w:rsidRPr="00860507" w:rsidRDefault="00860507" w:rsidP="00860507">
      <w:pPr>
        <w:pStyle w:val="ListParagraph"/>
        <w:numPr>
          <w:ilvl w:val="0"/>
          <w:numId w:val="1"/>
        </w:numPr>
        <w:rPr>
          <w:rStyle w:val="Strong"/>
          <w:b w:val="0"/>
          <w:bCs w:val="0"/>
        </w:rPr>
      </w:pPr>
      <w:r w:rsidRPr="00860507">
        <w:rPr>
          <w:rStyle w:val="Strong"/>
          <w:b w:val="0"/>
          <w:bCs w:val="0"/>
        </w:rPr>
        <w:t xml:space="preserve">Former State Rep. </w:t>
      </w:r>
      <w:r w:rsidRPr="0091542C">
        <w:rPr>
          <w:rStyle w:val="Strong"/>
        </w:rPr>
        <w:t>Jerry Costell</w:t>
      </w:r>
      <w:r w:rsidR="002D4581" w:rsidRPr="0091542C">
        <w:rPr>
          <w:rStyle w:val="Strong"/>
        </w:rPr>
        <w:t>o</w:t>
      </w:r>
      <w:r w:rsidRPr="0091542C">
        <w:rPr>
          <w:rStyle w:val="Strong"/>
        </w:rPr>
        <w:t xml:space="preserve"> II</w:t>
      </w:r>
      <w:r w:rsidRPr="00860507">
        <w:rPr>
          <w:rStyle w:val="Strong"/>
          <w:b w:val="0"/>
          <w:bCs w:val="0"/>
        </w:rPr>
        <w:t xml:space="preserve"> will serve as the </w:t>
      </w:r>
      <w:r w:rsidR="002D4581" w:rsidRPr="0091542C">
        <w:rPr>
          <w:rStyle w:val="Strong"/>
        </w:rPr>
        <w:t>Director</w:t>
      </w:r>
      <w:r w:rsidRPr="0091542C">
        <w:rPr>
          <w:rStyle w:val="Strong"/>
        </w:rPr>
        <w:t xml:space="preserve"> of Agriculture</w:t>
      </w:r>
      <w:r w:rsidRPr="00860507">
        <w:rPr>
          <w:rStyle w:val="Strong"/>
          <w:b w:val="0"/>
          <w:bCs w:val="0"/>
        </w:rPr>
        <w:t>.</w:t>
      </w:r>
    </w:p>
    <w:p w14:paraId="3D890282" w14:textId="4CFE7816" w:rsidR="00052DC5" w:rsidRPr="00860507" w:rsidRDefault="00052DC5" w:rsidP="00860507">
      <w:pPr>
        <w:pStyle w:val="ListParagraph"/>
        <w:numPr>
          <w:ilvl w:val="0"/>
          <w:numId w:val="1"/>
        </w:numPr>
        <w:rPr>
          <w:b/>
          <w:bCs/>
        </w:rPr>
      </w:pPr>
      <w:bookmarkStart w:id="1" w:name="_Hlk34212907"/>
      <w:r w:rsidRPr="0091542C">
        <w:rPr>
          <w:rStyle w:val="Strong"/>
        </w:rPr>
        <w:t xml:space="preserve">Gary </w:t>
      </w:r>
      <w:proofErr w:type="spellStart"/>
      <w:r w:rsidRPr="0091542C">
        <w:rPr>
          <w:rStyle w:val="Strong"/>
        </w:rPr>
        <w:t>Kaatz</w:t>
      </w:r>
      <w:proofErr w:type="spellEnd"/>
      <w:r w:rsidRPr="00860507">
        <w:rPr>
          <w:rStyle w:val="Strong"/>
          <w:b w:val="0"/>
          <w:bCs w:val="0"/>
        </w:rPr>
        <w:t xml:space="preserve"> will serve on the </w:t>
      </w:r>
      <w:r w:rsidRPr="0091542C">
        <w:rPr>
          <w:rStyle w:val="Strong"/>
        </w:rPr>
        <w:t>Health Facilities and Services Review Board</w:t>
      </w:r>
      <w:r w:rsidRPr="00860507">
        <w:rPr>
          <w:rStyle w:val="Strong"/>
          <w:b w:val="0"/>
          <w:bCs w:val="0"/>
        </w:rPr>
        <w:t>.</w:t>
      </w:r>
      <w:r w:rsidRPr="00860507">
        <w:rPr>
          <w:b/>
          <w:bCs/>
        </w:rPr>
        <w:t xml:space="preserve"> </w:t>
      </w:r>
    </w:p>
    <w:p w14:paraId="3FDB00DC" w14:textId="7F0CBABE" w:rsidR="00884B34" w:rsidRPr="00AF6688" w:rsidRDefault="00884B34" w:rsidP="00884B34">
      <w:pPr>
        <w:rPr>
          <w:b/>
          <w:bCs/>
          <w:sz w:val="28"/>
          <w:szCs w:val="28"/>
        </w:rPr>
      </w:pPr>
      <w:bookmarkStart w:id="2" w:name="_GoBack"/>
      <w:bookmarkEnd w:id="1"/>
      <w:bookmarkEnd w:id="2"/>
      <w:r w:rsidRPr="00AF6688">
        <w:rPr>
          <w:b/>
          <w:bCs/>
          <w:sz w:val="28"/>
          <w:szCs w:val="28"/>
        </w:rPr>
        <w:t>101</w:t>
      </w:r>
      <w:r w:rsidRPr="00AF6688">
        <w:rPr>
          <w:b/>
          <w:bCs/>
          <w:sz w:val="28"/>
          <w:szCs w:val="28"/>
          <w:vertAlign w:val="superscript"/>
        </w:rPr>
        <w:t>st</w:t>
      </w:r>
      <w:r w:rsidRPr="00AF6688">
        <w:rPr>
          <w:b/>
          <w:bCs/>
          <w:sz w:val="28"/>
          <w:szCs w:val="28"/>
        </w:rPr>
        <w:t xml:space="preserve"> GENERAL ASSEMBLY:</w:t>
      </w:r>
    </w:p>
    <w:p w14:paraId="3AF1BF95" w14:textId="788CEEEF" w:rsidR="00EB4797" w:rsidRDefault="007B493E" w:rsidP="00884B34">
      <w:r>
        <w:t xml:space="preserve">Several </w:t>
      </w:r>
      <w:r w:rsidRPr="0091542C">
        <w:rPr>
          <w:b/>
          <w:bCs/>
        </w:rPr>
        <w:t>red-light camera</w:t>
      </w:r>
      <w:r>
        <w:t xml:space="preserve"> bills were positioned for consideration in the House.  </w:t>
      </w:r>
      <w:r w:rsidR="00EB4797">
        <w:t xml:space="preserve">The bills were assigned to the </w:t>
      </w:r>
      <w:r w:rsidR="00EB4797" w:rsidRPr="0091542C">
        <w:rPr>
          <w:b/>
          <w:bCs/>
        </w:rPr>
        <w:t>House Transportation:  Vehicles and Safety Committee</w:t>
      </w:r>
      <w:r w:rsidR="00EB4797">
        <w:t>.  A hearing on the legislation is not scheduled at this time.</w:t>
      </w:r>
      <w:r w:rsidR="009832B0">
        <w:t xml:space="preserve">  The bills are:</w:t>
      </w:r>
    </w:p>
    <w:p w14:paraId="502B4DE4" w14:textId="0D37D8F7" w:rsidR="00EB4797" w:rsidRDefault="00D07BB5" w:rsidP="009832B0">
      <w:pPr>
        <w:pStyle w:val="ListParagraph"/>
        <w:numPr>
          <w:ilvl w:val="0"/>
          <w:numId w:val="2"/>
        </w:numPr>
        <w:contextualSpacing w:val="0"/>
      </w:pPr>
      <w:hyperlink r:id="rId7" w:history="1">
        <w:r w:rsidR="00EB4797">
          <w:rPr>
            <w:rStyle w:val="Hyperlink"/>
          </w:rPr>
          <w:t>HB296</w:t>
        </w:r>
      </w:hyperlink>
      <w:r w:rsidR="00EB4797">
        <w:t xml:space="preserve"> (</w:t>
      </w:r>
      <w:r w:rsidR="00EB4797" w:rsidRPr="0091542C">
        <w:rPr>
          <w:b/>
          <w:bCs/>
        </w:rPr>
        <w:t>McSweeney</w:t>
      </w:r>
      <w:r w:rsidR="00EB4797">
        <w:t xml:space="preserve">) Requires IDOT to </w:t>
      </w:r>
      <w:r w:rsidR="007A17B7">
        <w:t>evaluate</w:t>
      </w:r>
      <w:r w:rsidR="00EB4797">
        <w:t xml:space="preserve"> red-light cameras.</w:t>
      </w:r>
    </w:p>
    <w:p w14:paraId="3B3E770F" w14:textId="6B1708C2" w:rsidR="00EB4797" w:rsidRDefault="00D07BB5" w:rsidP="009832B0">
      <w:pPr>
        <w:pStyle w:val="ListParagraph"/>
        <w:numPr>
          <w:ilvl w:val="0"/>
          <w:numId w:val="2"/>
        </w:numPr>
        <w:contextualSpacing w:val="0"/>
      </w:pPr>
      <w:hyperlink r:id="rId8" w:history="1">
        <w:r w:rsidR="00EB4797">
          <w:rPr>
            <w:rStyle w:val="Hyperlink"/>
          </w:rPr>
          <w:t>HB323</w:t>
        </w:r>
      </w:hyperlink>
      <w:r w:rsidR="00EB4797">
        <w:t xml:space="preserve"> (</w:t>
      </w:r>
      <w:r w:rsidR="00EB4797" w:rsidRPr="0091542C">
        <w:rPr>
          <w:b/>
          <w:bCs/>
        </w:rPr>
        <w:t>McSweeney</w:t>
      </w:r>
      <w:r w:rsidR="00EB4797">
        <w:t>) Abolishes the use of red-light cameras</w:t>
      </w:r>
      <w:r w:rsidR="00E07E2E">
        <w:t>,</w:t>
      </w:r>
      <w:r w:rsidR="00EB4797">
        <w:t xml:space="preserve"> including in home-rule units.</w:t>
      </w:r>
    </w:p>
    <w:p w14:paraId="4779F921" w14:textId="3F97B8C0" w:rsidR="00EB4797" w:rsidRDefault="00D07BB5" w:rsidP="009832B0">
      <w:pPr>
        <w:pStyle w:val="ListParagraph"/>
        <w:numPr>
          <w:ilvl w:val="0"/>
          <w:numId w:val="2"/>
        </w:numPr>
        <w:contextualSpacing w:val="0"/>
      </w:pPr>
      <w:hyperlink r:id="rId9" w:history="1">
        <w:r w:rsidR="00EB4797">
          <w:rPr>
            <w:rStyle w:val="Hyperlink"/>
          </w:rPr>
          <w:t>HB1619</w:t>
        </w:r>
      </w:hyperlink>
      <w:r w:rsidR="00EB4797">
        <w:t xml:space="preserve"> (</w:t>
      </w:r>
      <w:proofErr w:type="spellStart"/>
      <w:r w:rsidR="00EB4797" w:rsidRPr="0091542C">
        <w:rPr>
          <w:b/>
          <w:bCs/>
        </w:rPr>
        <w:t>Skillicorn</w:t>
      </w:r>
      <w:proofErr w:type="spellEnd"/>
      <w:r w:rsidR="00EB4797">
        <w:t xml:space="preserve">) Limits use of red-light camera enforcement funds to transportation related expenses and operation and maintenance of the camera system.  Exempts home-rule units. </w:t>
      </w:r>
    </w:p>
    <w:p w14:paraId="43E70D9D" w14:textId="6DB7EE63" w:rsidR="00EB4797" w:rsidRDefault="00D07BB5" w:rsidP="009832B0">
      <w:pPr>
        <w:pStyle w:val="ListParagraph"/>
        <w:numPr>
          <w:ilvl w:val="0"/>
          <w:numId w:val="2"/>
        </w:numPr>
        <w:contextualSpacing w:val="0"/>
      </w:pPr>
      <w:hyperlink r:id="rId10" w:history="1">
        <w:r w:rsidR="00EB4797">
          <w:rPr>
            <w:rStyle w:val="Hyperlink"/>
          </w:rPr>
          <w:t>HB3909</w:t>
        </w:r>
      </w:hyperlink>
      <w:r w:rsidR="00EB4797">
        <w:t xml:space="preserve"> (</w:t>
      </w:r>
      <w:proofErr w:type="spellStart"/>
      <w:r w:rsidR="00EB4797" w:rsidRPr="0091542C">
        <w:rPr>
          <w:b/>
          <w:bCs/>
        </w:rPr>
        <w:t>Wehrli</w:t>
      </w:r>
      <w:proofErr w:type="spellEnd"/>
      <w:r w:rsidR="00EB4797">
        <w:t>) Abolishes the use of red-light cameras</w:t>
      </w:r>
      <w:r w:rsidR="00E07E2E">
        <w:t>,</w:t>
      </w:r>
      <w:r w:rsidR="00EB4797">
        <w:t xml:space="preserve"> including in home-rule units.</w:t>
      </w:r>
    </w:p>
    <w:p w14:paraId="316C8F81" w14:textId="177667B8" w:rsidR="006A24CD" w:rsidRDefault="00D07BB5" w:rsidP="002D4581">
      <w:pPr>
        <w:pStyle w:val="ListParagraph"/>
        <w:numPr>
          <w:ilvl w:val="0"/>
          <w:numId w:val="2"/>
        </w:numPr>
        <w:contextualSpacing w:val="0"/>
      </w:pPr>
      <w:hyperlink r:id="rId11" w:history="1">
        <w:r w:rsidR="00EB4797">
          <w:rPr>
            <w:rStyle w:val="Hyperlink"/>
          </w:rPr>
          <w:t>HB3909</w:t>
        </w:r>
      </w:hyperlink>
      <w:r w:rsidR="00EB4797">
        <w:t xml:space="preserve"> (</w:t>
      </w:r>
      <w:r w:rsidR="00EB4797" w:rsidRPr="0091542C">
        <w:rPr>
          <w:b/>
          <w:bCs/>
        </w:rPr>
        <w:t>Buckner</w:t>
      </w:r>
      <w:r w:rsidR="00EB4797">
        <w:t>) Abolishes the use of red-light cameras</w:t>
      </w:r>
      <w:r w:rsidR="00E07E2E">
        <w:t>,</w:t>
      </w:r>
      <w:r w:rsidR="00EB4797">
        <w:t xml:space="preserve"> including in home-rule units.</w:t>
      </w:r>
    </w:p>
    <w:p w14:paraId="0A690CB2" w14:textId="01B751A5" w:rsidR="00F575B5" w:rsidRDefault="00F575B5" w:rsidP="002D4581">
      <w:pPr>
        <w:rPr>
          <w:rStyle w:val="content"/>
        </w:rPr>
      </w:pPr>
      <w:r>
        <w:rPr>
          <w:rStyle w:val="content"/>
        </w:rPr>
        <w:t xml:space="preserve">Legislation to create the </w:t>
      </w:r>
      <w:r w:rsidRPr="000734C2">
        <w:rPr>
          <w:rStyle w:val="content"/>
          <w:b/>
          <w:bCs/>
        </w:rPr>
        <w:t>Prescription Drug Affordability Act</w:t>
      </w:r>
      <w:r>
        <w:rPr>
          <w:rStyle w:val="content"/>
        </w:rPr>
        <w:t xml:space="preserve">, </w:t>
      </w:r>
      <w:hyperlink r:id="rId12" w:history="1">
        <w:r>
          <w:rPr>
            <w:rStyle w:val="Hyperlink"/>
          </w:rPr>
          <w:t>HB3493</w:t>
        </w:r>
      </w:hyperlink>
      <w:r>
        <w:rPr>
          <w:rStyle w:val="content"/>
        </w:rPr>
        <w:t xml:space="preserve"> (Guzzardi), has been </w:t>
      </w:r>
      <w:r w:rsidRPr="000734C2">
        <w:rPr>
          <w:rStyle w:val="content"/>
          <w:b/>
          <w:bCs/>
        </w:rPr>
        <w:t>tabled</w:t>
      </w:r>
      <w:r>
        <w:rPr>
          <w:rStyle w:val="content"/>
        </w:rPr>
        <w:t xml:space="preserve">. </w:t>
      </w:r>
      <w:r w:rsidR="00AD4540">
        <w:rPr>
          <w:rStyle w:val="content"/>
        </w:rPr>
        <w:t>The bill creates the Prescription Drug Affordability Board and grants the board authority to review all prescription drugs and the ability to reduce the cost of specified prescription drugs</w:t>
      </w:r>
      <w:r w:rsidR="002D30F1">
        <w:rPr>
          <w:rStyle w:val="content"/>
        </w:rPr>
        <w:t xml:space="preserve"> under review. The bill initially failed in the Prescription Drug and Affordability Committee on March 27, 2019 and again on Wednesday, March 4</w:t>
      </w:r>
      <w:r w:rsidR="002D30F1" w:rsidRPr="002D30F1">
        <w:rPr>
          <w:rStyle w:val="content"/>
          <w:vertAlign w:val="superscript"/>
        </w:rPr>
        <w:t>th</w:t>
      </w:r>
      <w:r w:rsidR="002D30F1">
        <w:rPr>
          <w:rStyle w:val="content"/>
        </w:rPr>
        <w:t xml:space="preserve">. </w:t>
      </w:r>
    </w:p>
    <w:p w14:paraId="70C3C8CE" w14:textId="76ADD4B3" w:rsidR="002D30F1" w:rsidRDefault="002D30F1" w:rsidP="002D4581">
      <w:pPr>
        <w:rPr>
          <w:rStyle w:val="content"/>
        </w:rPr>
      </w:pPr>
      <w:r w:rsidRPr="002D30F1">
        <w:rPr>
          <w:rStyle w:val="content"/>
          <w:b/>
          <w:bCs/>
          <w:sz w:val="28"/>
          <w:szCs w:val="28"/>
        </w:rPr>
        <w:t>Insurance Committee</w:t>
      </w:r>
      <w:r>
        <w:rPr>
          <w:rStyle w:val="content"/>
          <w:b/>
          <w:bCs/>
          <w:sz w:val="28"/>
          <w:szCs w:val="28"/>
        </w:rPr>
        <w:t>s</w:t>
      </w:r>
      <w:r>
        <w:rPr>
          <w:rStyle w:val="content"/>
        </w:rPr>
        <w:t>:</w:t>
      </w:r>
    </w:p>
    <w:p w14:paraId="688262B6" w14:textId="05C5C0E8" w:rsidR="002D30F1" w:rsidRDefault="002D30F1" w:rsidP="002D4581">
      <w:pPr>
        <w:rPr>
          <w:rStyle w:val="content"/>
        </w:rPr>
      </w:pPr>
      <w:r>
        <w:rPr>
          <w:rStyle w:val="content"/>
        </w:rPr>
        <w:t xml:space="preserve">The </w:t>
      </w:r>
      <w:r w:rsidRPr="002D30F1">
        <w:rPr>
          <w:rStyle w:val="content"/>
          <w:b/>
          <w:bCs/>
        </w:rPr>
        <w:t>House Insurance Committee</w:t>
      </w:r>
      <w:r>
        <w:rPr>
          <w:rStyle w:val="content"/>
        </w:rPr>
        <w:t xml:space="preserve"> met on Tuesday, March 3</w:t>
      </w:r>
      <w:r w:rsidRPr="002D30F1">
        <w:rPr>
          <w:rStyle w:val="content"/>
          <w:vertAlign w:val="superscript"/>
        </w:rPr>
        <w:t>rd</w:t>
      </w:r>
      <w:r>
        <w:rPr>
          <w:rStyle w:val="content"/>
        </w:rPr>
        <w:t xml:space="preserve"> and passed two bills out of committee. </w:t>
      </w:r>
      <w:hyperlink r:id="rId13" w:history="1">
        <w:r w:rsidRPr="002D30F1">
          <w:rPr>
            <w:rStyle w:val="Hyperlink"/>
          </w:rPr>
          <w:t>HB 3965</w:t>
        </w:r>
      </w:hyperlink>
      <w:r>
        <w:rPr>
          <w:rStyle w:val="content"/>
        </w:rPr>
        <w:t xml:space="preserve"> (Welch) requires insurance companies to submit an annual report on its voluntary diversity program to the Department of Insurance. </w:t>
      </w:r>
      <w:hyperlink r:id="rId14" w:history="1">
        <w:r w:rsidRPr="002D30F1">
          <w:rPr>
            <w:rStyle w:val="Hyperlink"/>
          </w:rPr>
          <w:t>HB 4433</w:t>
        </w:r>
      </w:hyperlink>
      <w:r>
        <w:rPr>
          <w:rStyle w:val="content"/>
        </w:rPr>
        <w:t xml:space="preserve"> (Morgan) provides that if a health services plan corporation furnishes dental services to the plan’s subscribers and beneficiaries, the board of trustees of the corporation must appoint a Dental Director.</w:t>
      </w:r>
    </w:p>
    <w:p w14:paraId="0E862AB9" w14:textId="7BCED808" w:rsidR="002D30F1" w:rsidRDefault="002D30F1" w:rsidP="002D4581">
      <w:pPr>
        <w:rPr>
          <w:rStyle w:val="content"/>
        </w:rPr>
      </w:pPr>
      <w:r>
        <w:rPr>
          <w:rStyle w:val="content"/>
        </w:rPr>
        <w:t xml:space="preserve">The </w:t>
      </w:r>
      <w:r w:rsidRPr="004D6760">
        <w:rPr>
          <w:rStyle w:val="content"/>
          <w:b/>
          <w:bCs/>
        </w:rPr>
        <w:t>Senate Insurance Committee</w:t>
      </w:r>
      <w:r>
        <w:rPr>
          <w:rStyle w:val="content"/>
        </w:rPr>
        <w:t xml:space="preserve"> met on Wednesday, March 4</w:t>
      </w:r>
      <w:r w:rsidRPr="002D30F1">
        <w:rPr>
          <w:rStyle w:val="content"/>
          <w:vertAlign w:val="superscript"/>
        </w:rPr>
        <w:t>th</w:t>
      </w:r>
      <w:r>
        <w:rPr>
          <w:rStyle w:val="content"/>
        </w:rPr>
        <w:t xml:space="preserve"> and passed two bills of committee as well. </w:t>
      </w:r>
      <w:hyperlink r:id="rId15" w:history="1">
        <w:r w:rsidR="004D6760" w:rsidRPr="004D6760">
          <w:rPr>
            <w:rStyle w:val="Hyperlink"/>
          </w:rPr>
          <w:t>S</w:t>
        </w:r>
        <w:r w:rsidRPr="004D6760">
          <w:rPr>
            <w:rStyle w:val="Hyperlink"/>
          </w:rPr>
          <w:t>B 2457</w:t>
        </w:r>
      </w:hyperlink>
      <w:r>
        <w:rPr>
          <w:rStyle w:val="content"/>
        </w:rPr>
        <w:t xml:space="preserve"> (Morrison) a cleanup bill from legislation the General Assembly passed last year on epinephrine injectors. </w:t>
      </w:r>
      <w:hyperlink r:id="rId16" w:history="1">
        <w:r w:rsidR="004D6760">
          <w:rPr>
            <w:rStyle w:val="Hyperlink"/>
          </w:rPr>
          <w:t>S</w:t>
        </w:r>
        <w:r w:rsidRPr="004D6760">
          <w:rPr>
            <w:rStyle w:val="Hyperlink"/>
          </w:rPr>
          <w:t>B 2561</w:t>
        </w:r>
      </w:hyperlink>
      <w:r>
        <w:rPr>
          <w:rStyle w:val="content"/>
        </w:rPr>
        <w:t xml:space="preserve"> (Fine) </w:t>
      </w:r>
      <w:r w:rsidR="004D6760">
        <w:rPr>
          <w:rStyle w:val="content"/>
        </w:rPr>
        <w:t>provides that services for telehealth are reimbursed the same a in-</w:t>
      </w:r>
      <w:r w:rsidR="004D6760">
        <w:rPr>
          <w:rStyle w:val="content"/>
        </w:rPr>
        <w:lastRenderedPageBreak/>
        <w:t>person consultation. The bill must come back to committee on an agreed amendment. Laura Minzer with the Illinois Life and Health Insurance Council has taken the lead on the amendment language.</w:t>
      </w:r>
    </w:p>
    <w:p w14:paraId="4942B2D3" w14:textId="2F60AAFC" w:rsidR="004D6760" w:rsidRPr="004D6760" w:rsidRDefault="004D6760" w:rsidP="002D4581">
      <w:pPr>
        <w:rPr>
          <w:rStyle w:val="content"/>
          <w:b/>
          <w:bCs/>
          <w:sz w:val="28"/>
          <w:szCs w:val="28"/>
        </w:rPr>
      </w:pPr>
      <w:r w:rsidRPr="004D6760">
        <w:rPr>
          <w:rStyle w:val="content"/>
          <w:b/>
          <w:bCs/>
          <w:sz w:val="28"/>
          <w:szCs w:val="28"/>
        </w:rPr>
        <w:t>Our Legislation:</w:t>
      </w:r>
    </w:p>
    <w:p w14:paraId="39DC8852" w14:textId="77777777" w:rsidR="009904CC" w:rsidRDefault="00D07BB5" w:rsidP="002D4581">
      <w:hyperlink r:id="rId17" w:history="1">
        <w:r w:rsidR="004D6760" w:rsidRPr="004D6760">
          <w:rPr>
            <w:rStyle w:val="Hyperlink"/>
          </w:rPr>
          <w:t>SB 3263</w:t>
        </w:r>
      </w:hyperlink>
      <w:r w:rsidR="004D6760">
        <w:t xml:space="preserve"> (Cunningham): </w:t>
      </w:r>
      <w:r w:rsidR="009904CC">
        <w:t>Parity for Third-Party Auto Claims in Total Loss of Vehicle</w:t>
      </w:r>
    </w:p>
    <w:p w14:paraId="2A8C64A2" w14:textId="02EF8561" w:rsidR="004D6760" w:rsidRDefault="004D6760" w:rsidP="002D4581">
      <w:r>
        <w:t xml:space="preserve">Brett Gerger and I met with Senate Democrats Legal Team, Kevin Martin of IIA, Department of Insurance, and various company representatives last week to go over the introduced legislation. The meeting went very </w:t>
      </w:r>
      <w:proofErr w:type="gramStart"/>
      <w:r>
        <w:t>well</w:t>
      </w:r>
      <w:proofErr w:type="gramEnd"/>
      <w:r>
        <w:t xml:space="preserve"> and the Department of Insurance supported our argument for legislative change. The Department and Kevin Martin’s group said they will develop language that will help alleviate the company’s liability concerns. I then met with Sen. Cunningham this week to provide him an update on the meeting and that we will hopefully have an agreed upon amendment from the industry. </w:t>
      </w:r>
      <w:r w:rsidR="009904CC">
        <w:t>The bill is currently in assignments and the sponsor reassured me that it will soon be assigned to a committee.</w:t>
      </w:r>
    </w:p>
    <w:p w14:paraId="1461933A" w14:textId="2CF7C808" w:rsidR="009904CC" w:rsidRDefault="00D07BB5" w:rsidP="002D4581">
      <w:hyperlink r:id="rId18" w:history="1">
        <w:r w:rsidR="009904CC" w:rsidRPr="009904CC">
          <w:rPr>
            <w:rStyle w:val="Hyperlink"/>
          </w:rPr>
          <w:t>SB 3714</w:t>
        </w:r>
      </w:hyperlink>
      <w:r w:rsidR="009904CC">
        <w:t xml:space="preserve"> (Harris): Second Notice of Lapse Life Insurance</w:t>
      </w:r>
    </w:p>
    <w:p w14:paraId="38C198B9" w14:textId="676B8032" w:rsidR="009904CC" w:rsidRDefault="009904CC" w:rsidP="002D4581">
      <w:r>
        <w:t>I have had several conversations this week with NAIFA-IL leaders, Laura Minzer, and the Department of Insurance. The bill will need amendment language to place it in the correct section of the Illinois Insurance Code and provide clarification on the policies being affected. Laura and I are working through company concerns with the legislation and can hopefully come to an agreement soon. The bill has been assigned to the Senate Insurance Committee.</w:t>
      </w:r>
    </w:p>
    <w:p w14:paraId="2221E831" w14:textId="09D5541B" w:rsidR="00BE6CE5" w:rsidRDefault="00BE6CE5" w:rsidP="002D4581"/>
    <w:p w14:paraId="58083B0B" w14:textId="77777777" w:rsidR="00BE6CE5" w:rsidRDefault="00BE6CE5" w:rsidP="002D4581"/>
    <w:p w14:paraId="40DB25BB" w14:textId="03E6AE86" w:rsidR="009904CC" w:rsidRDefault="00D07BB5" w:rsidP="002D4581">
      <w:hyperlink r:id="rId19" w:history="1">
        <w:r w:rsidR="009904CC" w:rsidRPr="009904CC">
          <w:rPr>
            <w:rStyle w:val="Hyperlink"/>
          </w:rPr>
          <w:t>SB 3783</w:t>
        </w:r>
      </w:hyperlink>
      <w:r w:rsidR="009904CC">
        <w:t xml:space="preserve"> (Hastings): Surplus Lines Market Efficiencies</w:t>
      </w:r>
    </w:p>
    <w:p w14:paraId="1F80F9AF" w14:textId="19F6AD86" w:rsidR="009904CC" w:rsidRDefault="009904CC" w:rsidP="002D4581">
      <w:r>
        <w:t>David Ocasek (Illinois Surplus Lines Association) has been working with the Department of Insurance t</w:t>
      </w:r>
      <w:r w:rsidR="00BE6CE5">
        <w:t>o alleviate their concerns with the legislation. The bill is currently in assignments and believe we are close to an agreement with the Department on any changes that may be needed with an amendment.</w:t>
      </w:r>
    </w:p>
    <w:p w14:paraId="276BA37B" w14:textId="292042FF" w:rsidR="00BE6CE5" w:rsidRDefault="00D07BB5" w:rsidP="002D4581">
      <w:hyperlink r:id="rId20" w:history="1">
        <w:r w:rsidR="00BE6CE5" w:rsidRPr="00BE6CE5">
          <w:rPr>
            <w:rStyle w:val="Hyperlink"/>
          </w:rPr>
          <w:t>HB 4875</w:t>
        </w:r>
      </w:hyperlink>
      <w:r w:rsidR="00BE6CE5">
        <w:t xml:space="preserve"> (Jones): Public Adjuster Reform</w:t>
      </w:r>
    </w:p>
    <w:p w14:paraId="55B6FF9C" w14:textId="124C0D99" w:rsidR="00BE6CE5" w:rsidRDefault="00BE6CE5" w:rsidP="002D4581">
      <w:r>
        <w:t xml:space="preserve">Rep. Norine Hammond has signed as a Chief Co-Sponsor and have also added Rep. Jeff Keicher as a co-sponsor. I have sent in amendment language to be drafted by the Legislative Reference Bureau (LRB). The amendment language will help clarify the intent of the legislation as well as making a few substantive changes. At the suggestion of the Department of Insurance we have added that the public adjuster must include their email address on contract and the consumer will be able to cancel the contract by email. In receiving feedback from public </w:t>
      </w:r>
      <w:r w:rsidR="00372C0F">
        <w:t>adjusters,</w:t>
      </w:r>
      <w:r>
        <w:t xml:space="preserve"> we have extended the requirement to send in a copy of the exact contract to the insurance company from one business day to two business days. The bill is currently in Rules. </w:t>
      </w:r>
      <w:r w:rsidR="00372C0F">
        <w:t xml:space="preserve">We have received word that the Illinois Public Adjusters Association is ramping up their lobbying efforts and are looking for a prominent lobbyist to hire to take on this bill. I have not received word yet on who they have </w:t>
      </w:r>
      <w:proofErr w:type="gramStart"/>
      <w:r w:rsidR="00372C0F">
        <w:t>hired</w:t>
      </w:r>
      <w:proofErr w:type="gramEnd"/>
      <w:r w:rsidR="00372C0F">
        <w:t xml:space="preserve"> and nothing is available on the Secretary of State’s website to indicate they have hired anyone yet.</w:t>
      </w:r>
    </w:p>
    <w:p w14:paraId="5E2A98C3" w14:textId="4E0BD2BA" w:rsidR="00884B34" w:rsidRPr="00884B34" w:rsidRDefault="00884B34" w:rsidP="00884B34">
      <w:pPr>
        <w:pStyle w:val="NoSpacing"/>
        <w:rPr>
          <w:b/>
          <w:bCs/>
          <w:sz w:val="28"/>
          <w:szCs w:val="28"/>
        </w:rPr>
      </w:pPr>
      <w:r w:rsidRPr="00884B34">
        <w:rPr>
          <w:b/>
          <w:bCs/>
          <w:sz w:val="28"/>
          <w:szCs w:val="28"/>
        </w:rPr>
        <w:t>COMING UP:</w:t>
      </w:r>
    </w:p>
    <w:p w14:paraId="0584DBB1" w14:textId="755383E8" w:rsidR="00884B34" w:rsidRDefault="00F73FBD" w:rsidP="00884B34">
      <w:pPr>
        <w:pStyle w:val="NoSpacing"/>
      </w:pPr>
      <w:r>
        <w:lastRenderedPageBreak/>
        <w:t>T</w:t>
      </w:r>
      <w:r w:rsidR="005D4DF2">
        <w:t xml:space="preserve">he General Assembly adjourned and is taking a </w:t>
      </w:r>
      <w:r w:rsidR="005D4DF2" w:rsidRPr="0067635F">
        <w:t>one-week legislative break,</w:t>
      </w:r>
      <w:r>
        <w:t xml:space="preserve"> return</w:t>
      </w:r>
      <w:r w:rsidR="005D4DF2">
        <w:t>ing</w:t>
      </w:r>
      <w:r>
        <w:t xml:space="preserve"> to session on Wednesday, </w:t>
      </w:r>
      <w:r w:rsidRPr="000734C2">
        <w:rPr>
          <w:b/>
          <w:bCs/>
        </w:rPr>
        <w:t>March 18</w:t>
      </w:r>
      <w:r w:rsidRPr="000734C2">
        <w:rPr>
          <w:b/>
          <w:bCs/>
          <w:vertAlign w:val="superscript"/>
        </w:rPr>
        <w:t>th</w:t>
      </w:r>
      <w:r>
        <w:t xml:space="preserve">.  </w:t>
      </w:r>
      <w:r w:rsidRPr="000734C2">
        <w:rPr>
          <w:b/>
          <w:bCs/>
        </w:rPr>
        <w:t>March 17</w:t>
      </w:r>
      <w:r w:rsidRPr="000734C2">
        <w:rPr>
          <w:b/>
          <w:bCs/>
          <w:vertAlign w:val="superscript"/>
        </w:rPr>
        <w:t>th</w:t>
      </w:r>
      <w:r>
        <w:t xml:space="preserve"> is the </w:t>
      </w:r>
      <w:r w:rsidR="00E07E2E">
        <w:rPr>
          <w:b/>
          <w:bCs/>
        </w:rPr>
        <w:t>P</w:t>
      </w:r>
      <w:r w:rsidRPr="000734C2">
        <w:rPr>
          <w:b/>
          <w:bCs/>
        </w:rPr>
        <w:t xml:space="preserve">rimary </w:t>
      </w:r>
      <w:r w:rsidR="00E07E2E">
        <w:rPr>
          <w:b/>
          <w:bCs/>
        </w:rPr>
        <w:t>E</w:t>
      </w:r>
      <w:r w:rsidRPr="000734C2">
        <w:rPr>
          <w:b/>
          <w:bCs/>
        </w:rPr>
        <w:t>lection</w:t>
      </w:r>
      <w:r>
        <w:t xml:space="preserve"> in Illinois.  </w:t>
      </w:r>
      <w:r w:rsidR="00E83682" w:rsidRPr="000734C2">
        <w:rPr>
          <w:b/>
          <w:bCs/>
        </w:rPr>
        <w:t>March 27</w:t>
      </w:r>
      <w:r w:rsidR="00E83682" w:rsidRPr="000734C2">
        <w:rPr>
          <w:b/>
          <w:bCs/>
          <w:vertAlign w:val="superscript"/>
        </w:rPr>
        <w:t>th</w:t>
      </w:r>
      <w:r w:rsidR="00E83682">
        <w:t xml:space="preserve"> is the </w:t>
      </w:r>
      <w:r w:rsidR="00E83682" w:rsidRPr="000734C2">
        <w:rPr>
          <w:b/>
          <w:bCs/>
        </w:rPr>
        <w:t>deadline</w:t>
      </w:r>
      <w:r w:rsidR="00E83682">
        <w:t xml:space="preserve"> to pass substantive legislation out of committees in both the House and Senate.</w:t>
      </w:r>
    </w:p>
    <w:p w14:paraId="54539E21" w14:textId="77777777" w:rsidR="00F73FBD" w:rsidRDefault="00F73FBD" w:rsidP="00884B34">
      <w:pPr>
        <w:pStyle w:val="NoSpacing"/>
        <w:rPr>
          <w:b/>
          <w:bCs/>
          <w:u w:val="single"/>
        </w:rPr>
      </w:pPr>
    </w:p>
    <w:p w14:paraId="49A26BDA" w14:textId="233363B5" w:rsidR="00884B34" w:rsidRPr="006C5178" w:rsidRDefault="00884B34" w:rsidP="00884B34">
      <w:pPr>
        <w:pStyle w:val="NoSpacing"/>
        <w:rPr>
          <w:b/>
          <w:bCs/>
          <w:u w:val="single"/>
        </w:rPr>
      </w:pPr>
      <w:r w:rsidRPr="006C5178">
        <w:rPr>
          <w:b/>
          <w:bCs/>
          <w:u w:val="single"/>
        </w:rPr>
        <w:t>Key 2020 Session Dates:</w:t>
      </w:r>
    </w:p>
    <w:p w14:paraId="77107377" w14:textId="0AB271D0" w:rsidR="00884B34" w:rsidRDefault="00884B34" w:rsidP="00884B34">
      <w:pPr>
        <w:pStyle w:val="NoSpacing"/>
      </w:pPr>
      <w:r w:rsidRPr="00034671">
        <w:t>March 17</w:t>
      </w:r>
      <w:r w:rsidRPr="00034671">
        <w:rPr>
          <w:vertAlign w:val="superscript"/>
        </w:rPr>
        <w:t>th</w:t>
      </w:r>
      <w:r w:rsidRPr="00034671">
        <w:t>: Primary Election</w:t>
      </w:r>
    </w:p>
    <w:p w14:paraId="7AC4FA1F" w14:textId="1D56791D" w:rsidR="00372C0F" w:rsidRPr="00372C0F" w:rsidRDefault="00372C0F" w:rsidP="00884B34">
      <w:pPr>
        <w:pStyle w:val="NoSpacing"/>
        <w:rPr>
          <w:b/>
          <w:bCs/>
        </w:rPr>
      </w:pPr>
      <w:r w:rsidRPr="00372C0F">
        <w:rPr>
          <w:b/>
          <w:bCs/>
          <w:highlight w:val="yellow"/>
        </w:rPr>
        <w:t>March 18</w:t>
      </w:r>
      <w:r w:rsidRPr="00372C0F">
        <w:rPr>
          <w:b/>
          <w:bCs/>
          <w:highlight w:val="yellow"/>
          <w:vertAlign w:val="superscript"/>
        </w:rPr>
        <w:t>th</w:t>
      </w:r>
      <w:r w:rsidRPr="00372C0F">
        <w:rPr>
          <w:b/>
          <w:bCs/>
          <w:highlight w:val="yellow"/>
        </w:rPr>
        <w:t>: Insurance Industry Legislative Day</w:t>
      </w:r>
    </w:p>
    <w:p w14:paraId="4D2AA44D" w14:textId="77777777" w:rsidR="00884B34" w:rsidRPr="00034671" w:rsidRDefault="00884B34" w:rsidP="00884B34">
      <w:pPr>
        <w:pStyle w:val="NoSpacing"/>
      </w:pPr>
      <w:r w:rsidRPr="00034671">
        <w:t>March 27</w:t>
      </w:r>
      <w:r w:rsidRPr="00034671">
        <w:rPr>
          <w:vertAlign w:val="superscript"/>
        </w:rPr>
        <w:t>th</w:t>
      </w:r>
      <w:r w:rsidRPr="00034671">
        <w:t>:  Committee deadline for substantive bills</w:t>
      </w:r>
    </w:p>
    <w:p w14:paraId="77EDF26A" w14:textId="77777777" w:rsidR="00884B34" w:rsidRPr="00034671" w:rsidRDefault="00884B34" w:rsidP="00884B34">
      <w:pPr>
        <w:pStyle w:val="NoSpacing"/>
      </w:pPr>
      <w:r w:rsidRPr="00034671">
        <w:t>April 6</w:t>
      </w:r>
      <w:r w:rsidRPr="00034671">
        <w:rPr>
          <w:vertAlign w:val="superscript"/>
        </w:rPr>
        <w:t>th</w:t>
      </w:r>
      <w:r w:rsidRPr="00034671">
        <w:t xml:space="preserve"> – 17</w:t>
      </w:r>
      <w:r w:rsidRPr="00034671">
        <w:rPr>
          <w:vertAlign w:val="superscript"/>
        </w:rPr>
        <w:t>th</w:t>
      </w:r>
      <w:r w:rsidRPr="00034671">
        <w:t>:  Spring Break</w:t>
      </w:r>
    </w:p>
    <w:p w14:paraId="7E79C18B" w14:textId="77777777" w:rsidR="00884B34" w:rsidRPr="00034671" w:rsidRDefault="00884B34" w:rsidP="00884B34">
      <w:pPr>
        <w:pStyle w:val="NoSpacing"/>
      </w:pPr>
      <w:r w:rsidRPr="00034671">
        <w:t>April 24</w:t>
      </w:r>
      <w:r w:rsidRPr="00034671">
        <w:rPr>
          <w:vertAlign w:val="superscript"/>
        </w:rPr>
        <w:t>th</w:t>
      </w:r>
      <w:r w:rsidRPr="00034671">
        <w:t>:  3</w:t>
      </w:r>
      <w:r w:rsidRPr="00034671">
        <w:rPr>
          <w:vertAlign w:val="superscript"/>
        </w:rPr>
        <w:t>rd</w:t>
      </w:r>
      <w:r w:rsidRPr="00034671">
        <w:t xml:space="preserve"> Reading deadline for substantive bills</w:t>
      </w:r>
    </w:p>
    <w:p w14:paraId="2002E736" w14:textId="77777777" w:rsidR="00884B34" w:rsidRPr="00034671" w:rsidRDefault="00884B34" w:rsidP="00884B34">
      <w:pPr>
        <w:pStyle w:val="NoSpacing"/>
      </w:pPr>
      <w:r w:rsidRPr="00034671">
        <w:t>May 15</w:t>
      </w:r>
      <w:r w:rsidRPr="00034671">
        <w:rPr>
          <w:vertAlign w:val="superscript"/>
        </w:rPr>
        <w:t>th</w:t>
      </w:r>
      <w:r w:rsidRPr="00034671">
        <w:t>:  Committee deadline for substantive bills in second chamber</w:t>
      </w:r>
    </w:p>
    <w:p w14:paraId="2A6CC3E2" w14:textId="77777777" w:rsidR="00884B34" w:rsidRDefault="00884B34" w:rsidP="00884B34">
      <w:pPr>
        <w:pStyle w:val="NoSpacing"/>
      </w:pPr>
      <w:r w:rsidRPr="00034671">
        <w:t>May 22</w:t>
      </w:r>
      <w:r w:rsidRPr="00034671">
        <w:rPr>
          <w:vertAlign w:val="superscript"/>
        </w:rPr>
        <w:t>nd</w:t>
      </w:r>
      <w:r w:rsidRPr="00034671">
        <w:t>:  3</w:t>
      </w:r>
      <w:r w:rsidRPr="00034671">
        <w:rPr>
          <w:vertAlign w:val="superscript"/>
        </w:rPr>
        <w:t>rd</w:t>
      </w:r>
      <w:r w:rsidRPr="00034671">
        <w:t xml:space="preserve"> Reading deadline for substantive bills in second chamber </w:t>
      </w:r>
    </w:p>
    <w:p w14:paraId="29A37099" w14:textId="77777777" w:rsidR="00884B34" w:rsidRPr="00AB1B36" w:rsidRDefault="00884B34" w:rsidP="00884B34">
      <w:pPr>
        <w:pStyle w:val="NoSpacing"/>
      </w:pPr>
      <w:r w:rsidRPr="00034671">
        <w:t>May 31</w:t>
      </w:r>
      <w:r w:rsidRPr="00034671">
        <w:rPr>
          <w:vertAlign w:val="superscript"/>
        </w:rPr>
        <w:t>st</w:t>
      </w:r>
      <w:r w:rsidRPr="00034671">
        <w:t>:  Adjournment</w:t>
      </w:r>
    </w:p>
    <w:p w14:paraId="5BF40C14" w14:textId="7B46D94E" w:rsidR="00E07E2E" w:rsidRDefault="00E07E2E" w:rsidP="003C63FF"/>
    <w:sectPr w:rsidR="00E07E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44D57"/>
    <w:multiLevelType w:val="hybridMultilevel"/>
    <w:tmpl w:val="B58E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E734A"/>
    <w:multiLevelType w:val="hybridMultilevel"/>
    <w:tmpl w:val="2174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2F"/>
    <w:rsid w:val="00052DC5"/>
    <w:rsid w:val="000647C7"/>
    <w:rsid w:val="000734C2"/>
    <w:rsid w:val="00095CFA"/>
    <w:rsid w:val="001F05EF"/>
    <w:rsid w:val="002D30F1"/>
    <w:rsid w:val="002D4581"/>
    <w:rsid w:val="00372C0F"/>
    <w:rsid w:val="003C63FF"/>
    <w:rsid w:val="003E6A02"/>
    <w:rsid w:val="00444F7F"/>
    <w:rsid w:val="00493B46"/>
    <w:rsid w:val="004A272F"/>
    <w:rsid w:val="004D6760"/>
    <w:rsid w:val="005B2480"/>
    <w:rsid w:val="005D4DF2"/>
    <w:rsid w:val="006068C1"/>
    <w:rsid w:val="0067635F"/>
    <w:rsid w:val="006A24CD"/>
    <w:rsid w:val="00776E6D"/>
    <w:rsid w:val="007833BF"/>
    <w:rsid w:val="007A17B7"/>
    <w:rsid w:val="007B493E"/>
    <w:rsid w:val="007E1E3B"/>
    <w:rsid w:val="008350CF"/>
    <w:rsid w:val="00860507"/>
    <w:rsid w:val="00884B34"/>
    <w:rsid w:val="008E233B"/>
    <w:rsid w:val="00911261"/>
    <w:rsid w:val="0091542C"/>
    <w:rsid w:val="009832B0"/>
    <w:rsid w:val="009904CC"/>
    <w:rsid w:val="00AD4540"/>
    <w:rsid w:val="00AF6688"/>
    <w:rsid w:val="00B632E0"/>
    <w:rsid w:val="00B97298"/>
    <w:rsid w:val="00BE6CE5"/>
    <w:rsid w:val="00C21473"/>
    <w:rsid w:val="00D07BB5"/>
    <w:rsid w:val="00E07E2E"/>
    <w:rsid w:val="00E3677E"/>
    <w:rsid w:val="00E6485A"/>
    <w:rsid w:val="00E83682"/>
    <w:rsid w:val="00EB4797"/>
    <w:rsid w:val="00F575B5"/>
    <w:rsid w:val="00F73FBD"/>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C479"/>
  <w15:chartTrackingRefBased/>
  <w15:docId w15:val="{F65DD684-4E53-4FA4-8AD9-CAA6E4D2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72F"/>
    <w:rPr>
      <w:color w:val="0000FF"/>
      <w:u w:val="single"/>
    </w:rPr>
  </w:style>
  <w:style w:type="character" w:customStyle="1" w:styleId="u-hiddenvisually">
    <w:name w:val="u-hiddenvisually"/>
    <w:basedOn w:val="DefaultParagraphFont"/>
    <w:rsid w:val="004A272F"/>
  </w:style>
  <w:style w:type="paragraph" w:styleId="NormalWeb">
    <w:name w:val="Normal (Web)"/>
    <w:basedOn w:val="Normal"/>
    <w:uiPriority w:val="99"/>
    <w:semiHidden/>
    <w:unhideWhenUsed/>
    <w:rsid w:val="00E367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677E"/>
    <w:rPr>
      <w:b/>
      <w:bCs/>
    </w:rPr>
  </w:style>
  <w:style w:type="character" w:styleId="UnresolvedMention">
    <w:name w:val="Unresolved Mention"/>
    <w:basedOn w:val="DefaultParagraphFont"/>
    <w:uiPriority w:val="99"/>
    <w:semiHidden/>
    <w:unhideWhenUsed/>
    <w:rsid w:val="008350CF"/>
    <w:rPr>
      <w:color w:val="605E5C"/>
      <w:shd w:val="clear" w:color="auto" w:fill="E1DFDD"/>
    </w:rPr>
  </w:style>
  <w:style w:type="paragraph" w:styleId="ListParagraph">
    <w:name w:val="List Paragraph"/>
    <w:basedOn w:val="Normal"/>
    <w:uiPriority w:val="34"/>
    <w:qFormat/>
    <w:rsid w:val="00860507"/>
    <w:pPr>
      <w:ind w:left="720"/>
      <w:contextualSpacing/>
    </w:pPr>
  </w:style>
  <w:style w:type="paragraph" w:styleId="NoSpacing">
    <w:name w:val="No Spacing"/>
    <w:uiPriority w:val="1"/>
    <w:qFormat/>
    <w:rsid w:val="00884B34"/>
    <w:pPr>
      <w:spacing w:after="0" w:line="240" w:lineRule="auto"/>
    </w:pPr>
  </w:style>
  <w:style w:type="character" w:customStyle="1" w:styleId="content">
    <w:name w:val="content"/>
    <w:basedOn w:val="DefaultParagraphFont"/>
    <w:rsid w:val="00F57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865">
      <w:bodyDiv w:val="1"/>
      <w:marLeft w:val="0"/>
      <w:marRight w:val="0"/>
      <w:marTop w:val="0"/>
      <w:marBottom w:val="0"/>
      <w:divBdr>
        <w:top w:val="none" w:sz="0" w:space="0" w:color="auto"/>
        <w:left w:val="none" w:sz="0" w:space="0" w:color="auto"/>
        <w:bottom w:val="none" w:sz="0" w:space="0" w:color="auto"/>
        <w:right w:val="none" w:sz="0" w:space="0" w:color="auto"/>
      </w:divBdr>
    </w:div>
    <w:div w:id="814223180">
      <w:bodyDiv w:val="1"/>
      <w:marLeft w:val="0"/>
      <w:marRight w:val="0"/>
      <w:marTop w:val="0"/>
      <w:marBottom w:val="0"/>
      <w:divBdr>
        <w:top w:val="none" w:sz="0" w:space="0" w:color="auto"/>
        <w:left w:val="none" w:sz="0" w:space="0" w:color="auto"/>
        <w:bottom w:val="none" w:sz="0" w:space="0" w:color="auto"/>
        <w:right w:val="none" w:sz="0" w:space="0" w:color="auto"/>
      </w:divBdr>
    </w:div>
    <w:div w:id="1007056546">
      <w:bodyDiv w:val="1"/>
      <w:marLeft w:val="0"/>
      <w:marRight w:val="0"/>
      <w:marTop w:val="0"/>
      <w:marBottom w:val="0"/>
      <w:divBdr>
        <w:top w:val="none" w:sz="0" w:space="0" w:color="auto"/>
        <w:left w:val="none" w:sz="0" w:space="0" w:color="auto"/>
        <w:bottom w:val="none" w:sz="0" w:space="0" w:color="auto"/>
        <w:right w:val="none" w:sz="0" w:space="0" w:color="auto"/>
      </w:divBdr>
    </w:div>
    <w:div w:id="1336306124">
      <w:bodyDiv w:val="1"/>
      <w:marLeft w:val="0"/>
      <w:marRight w:val="0"/>
      <w:marTop w:val="0"/>
      <w:marBottom w:val="0"/>
      <w:divBdr>
        <w:top w:val="none" w:sz="0" w:space="0" w:color="auto"/>
        <w:left w:val="none" w:sz="0" w:space="0" w:color="auto"/>
        <w:bottom w:val="none" w:sz="0" w:space="0" w:color="auto"/>
        <w:right w:val="none" w:sz="0" w:space="0" w:color="auto"/>
      </w:divBdr>
    </w:div>
    <w:div w:id="1391802263">
      <w:bodyDiv w:val="1"/>
      <w:marLeft w:val="0"/>
      <w:marRight w:val="0"/>
      <w:marTop w:val="0"/>
      <w:marBottom w:val="0"/>
      <w:divBdr>
        <w:top w:val="none" w:sz="0" w:space="0" w:color="auto"/>
        <w:left w:val="none" w:sz="0" w:space="0" w:color="auto"/>
        <w:bottom w:val="none" w:sz="0" w:space="0" w:color="auto"/>
        <w:right w:val="none" w:sz="0" w:space="0" w:color="auto"/>
      </w:divBdr>
    </w:div>
    <w:div w:id="20691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lga.gov/legislation/billstatus.asp?DocNum=323&amp;GAID=15&amp;GA=101&amp;DocTypeID=HB&amp;LegID=114471&amp;SessionID=108" TargetMode="External"/><Relationship Id="rId13" Type="http://schemas.openxmlformats.org/officeDocument/2006/relationships/hyperlink" Target="http://ilga.gov/legislation/fulltext.asp?DocName=&amp;SessionId=108&amp;GA=101&amp;DocTypeId=HB&amp;DocNum=3965&amp;GAID=15&amp;LegID=122501&amp;SpecSess=&amp;Session=" TargetMode="External"/><Relationship Id="rId18" Type="http://schemas.openxmlformats.org/officeDocument/2006/relationships/hyperlink" Target="http://ilga.gov/legislation/fulltext.asp?DocName=&amp;SessionId=108&amp;GA=101&amp;DocTypeId=SB&amp;DocNum=3714&amp;GAID=15&amp;LegID=125718&amp;SpecSess=&amp;Sess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ilga.gov/legislation/billstatus.asp?DocNum=296&amp;GAID=15&amp;GA=101&amp;DocTypeID=HB&amp;LegID=114443&amp;SessionID=108" TargetMode="External"/><Relationship Id="rId12" Type="http://schemas.openxmlformats.org/officeDocument/2006/relationships/hyperlink" Target="http://ilga.gov/legislation/BillStatus.asp?DocNum=3493&amp;GAID=15&amp;DocTypeID=HB&amp;LegID=120105&amp;SessionID=108" TargetMode="External"/><Relationship Id="rId17" Type="http://schemas.openxmlformats.org/officeDocument/2006/relationships/hyperlink" Target="http://ilga.gov/legislation/fulltext.asp?DocName=&amp;SessionId=108&amp;GA=101&amp;DocTypeId=SB&amp;DocNum=3263&amp;GAID=15&amp;LegID=124776&amp;SpecSess=&amp;Session=" TargetMode="External"/><Relationship Id="rId2" Type="http://schemas.openxmlformats.org/officeDocument/2006/relationships/styles" Target="styles.xml"/><Relationship Id="rId16" Type="http://schemas.openxmlformats.org/officeDocument/2006/relationships/hyperlink" Target="http://ilga.gov/legislation/fulltext.asp?DocName=&amp;SessionId=108&amp;GA=101&amp;DocTypeId=SB&amp;DocNum=2561&amp;GAID=15&amp;LegID=123459&amp;SpecSess=&amp;Session=" TargetMode="External"/><Relationship Id="rId20" Type="http://schemas.openxmlformats.org/officeDocument/2006/relationships/hyperlink" Target="http://ilga.gov/legislation/fulltext.asp?DocName=&amp;SessionId=108&amp;GA=101&amp;DocTypeId=HB&amp;DocNum=4875&amp;GAID=15&amp;LegID=124956&amp;SpecSess=&amp;Session=" TargetMode="External"/><Relationship Id="rId1" Type="http://schemas.openxmlformats.org/officeDocument/2006/relationships/numbering" Target="numbering.xml"/><Relationship Id="rId6" Type="http://schemas.openxmlformats.org/officeDocument/2006/relationships/hyperlink" Target="https://insurance.illinois.gov/Newsrls/2020/03/COVID-19-FAQ.pdf" TargetMode="External"/><Relationship Id="rId11" Type="http://schemas.openxmlformats.org/officeDocument/2006/relationships/hyperlink" Target="http://ilga.gov/legislation/billstatus.asp?DocNum=3927&amp;GAID=15&amp;GA=101&amp;DocTypeID=HB&amp;LegID=122132&amp;SessionID=108" TargetMode="External"/><Relationship Id="rId5" Type="http://schemas.openxmlformats.org/officeDocument/2006/relationships/hyperlink" Target="https://documentcloud.adobe.com/link/track?uri=urn%3Aaaid%3Ascds%3AUS%3Adc6db2f4-ee85-41a4-b02a-bd4048b37c87" TargetMode="External"/><Relationship Id="rId15" Type="http://schemas.openxmlformats.org/officeDocument/2006/relationships/hyperlink" Target="http://ilga.gov/legislation/fulltext.asp?DocName=&amp;SessionId=108&amp;GA=101&amp;DocTypeId=SB&amp;DocNum=2457&amp;GAID=15&amp;LegID=122946&amp;SpecSess=&amp;Session=" TargetMode="External"/><Relationship Id="rId10" Type="http://schemas.openxmlformats.org/officeDocument/2006/relationships/hyperlink" Target="http://ilga.gov/legislation/billstatus.asp?DocNum=3909&amp;GAID=15&amp;GA=101&amp;DocTypeID=HB&amp;LegID=122067&amp;SessionID=108" TargetMode="External"/><Relationship Id="rId19" Type="http://schemas.openxmlformats.org/officeDocument/2006/relationships/hyperlink" Target="http://ilga.gov/legislation/fulltext.asp?DocName=&amp;SessionId=108&amp;GA=101&amp;DocTypeId=SB&amp;DocNum=3783&amp;GAID=15&amp;LegID=125848&amp;SpecSess=&amp;Session=" TargetMode="External"/><Relationship Id="rId4" Type="http://schemas.openxmlformats.org/officeDocument/2006/relationships/webSettings" Target="webSettings.xml"/><Relationship Id="rId9" Type="http://schemas.openxmlformats.org/officeDocument/2006/relationships/hyperlink" Target="http://ilga.gov/legislation/billstatus.asp?DocNum=1619&amp;GAID=15&amp;GA=101&amp;DocTypeID=HB&amp;LegID=116160&amp;SessionID=108" TargetMode="External"/><Relationship Id="rId14" Type="http://schemas.openxmlformats.org/officeDocument/2006/relationships/hyperlink" Target="http://ilga.gov/legislation/fulltext.asp?DocName=&amp;SessionId=108&amp;GA=101&amp;DocTypeId=HB&amp;DocNum=4433&amp;GAID=15&amp;LegID=123809&amp;SpecSess=&amp;Sess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3984</TotalTime>
  <Pages>3</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2020-03-09T14:26:00Z</dcterms:created>
  <dcterms:modified xsi:type="dcterms:W3CDTF">2020-03-09T14:26:00Z</dcterms:modified>
</cp:coreProperties>
</file>