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FA53D" w14:textId="2B5A5A86" w:rsidR="00C80D1A" w:rsidRPr="000E3AE6" w:rsidRDefault="00D80348">
      <w:pPr>
        <w:rPr>
          <w:rFonts w:cstheme="minorHAnsi"/>
          <w:b/>
          <w:bCs/>
          <w:sz w:val="28"/>
          <w:szCs w:val="28"/>
        </w:rPr>
      </w:pPr>
      <w:r w:rsidRPr="000E3AE6">
        <w:rPr>
          <w:rFonts w:cstheme="minorHAnsi"/>
          <w:b/>
          <w:bCs/>
          <w:sz w:val="28"/>
          <w:szCs w:val="28"/>
        </w:rPr>
        <w:t>COVID</w:t>
      </w:r>
      <w:r w:rsidR="006458D8">
        <w:rPr>
          <w:rFonts w:cstheme="minorHAnsi"/>
          <w:b/>
          <w:bCs/>
          <w:sz w:val="28"/>
          <w:szCs w:val="28"/>
        </w:rPr>
        <w:t>-</w:t>
      </w:r>
      <w:r w:rsidRPr="000E3AE6">
        <w:rPr>
          <w:rFonts w:cstheme="minorHAnsi"/>
          <w:b/>
          <w:bCs/>
          <w:sz w:val="28"/>
          <w:szCs w:val="28"/>
        </w:rPr>
        <w:t>19 UPDATE:</w:t>
      </w:r>
    </w:p>
    <w:p w14:paraId="1490F158" w14:textId="397384A7" w:rsidR="00DD36CB" w:rsidRPr="000E3AE6" w:rsidRDefault="00D80348">
      <w:pPr>
        <w:rPr>
          <w:rFonts w:cstheme="minorHAnsi"/>
          <w:sz w:val="22"/>
          <w:szCs w:val="22"/>
        </w:rPr>
      </w:pPr>
      <w:r w:rsidRPr="000E3AE6">
        <w:rPr>
          <w:rFonts w:cstheme="minorHAnsi"/>
          <w:sz w:val="22"/>
          <w:szCs w:val="22"/>
        </w:rPr>
        <w:t xml:space="preserve">Illinois </w:t>
      </w:r>
      <w:r w:rsidR="006458D8">
        <w:rPr>
          <w:rFonts w:cstheme="minorHAnsi"/>
          <w:sz w:val="22"/>
          <w:szCs w:val="22"/>
        </w:rPr>
        <w:t>is reporting</w:t>
      </w:r>
      <w:r w:rsidRPr="000E3AE6">
        <w:rPr>
          <w:rFonts w:cstheme="minorHAnsi"/>
          <w:sz w:val="22"/>
          <w:szCs w:val="22"/>
        </w:rPr>
        <w:t xml:space="preserve"> a total of 157 deaths due to the coronavirus – including 16 that were reported on April 2.  </w:t>
      </w:r>
      <w:r w:rsidR="008769EA">
        <w:rPr>
          <w:rFonts w:cstheme="minorHAnsi"/>
          <w:sz w:val="22"/>
          <w:szCs w:val="22"/>
        </w:rPr>
        <w:t>As</w:t>
      </w:r>
      <w:r w:rsidRPr="000E3AE6">
        <w:rPr>
          <w:rFonts w:cstheme="minorHAnsi"/>
          <w:sz w:val="22"/>
          <w:szCs w:val="22"/>
        </w:rPr>
        <w:t xml:space="preserve"> of Thursday, the state reported 715 new cases of COVID-19 across 61 </w:t>
      </w:r>
      <w:r w:rsidR="008769EA">
        <w:rPr>
          <w:rFonts w:cstheme="minorHAnsi"/>
          <w:sz w:val="22"/>
          <w:szCs w:val="22"/>
        </w:rPr>
        <w:t xml:space="preserve">of Illinois 102 </w:t>
      </w:r>
      <w:r w:rsidRPr="000E3AE6">
        <w:rPr>
          <w:rFonts w:cstheme="minorHAnsi"/>
          <w:sz w:val="22"/>
          <w:szCs w:val="22"/>
        </w:rPr>
        <w:t xml:space="preserve">counties. </w:t>
      </w:r>
    </w:p>
    <w:p w14:paraId="51D3719A" w14:textId="77777777" w:rsidR="000E3AE6" w:rsidRPr="000E3AE6" w:rsidRDefault="000E3AE6" w:rsidP="000E3AE6">
      <w:pPr>
        <w:rPr>
          <w:rFonts w:cstheme="minorHAnsi"/>
          <w:sz w:val="22"/>
          <w:szCs w:val="22"/>
        </w:rPr>
      </w:pPr>
    </w:p>
    <w:p w14:paraId="76830F6B" w14:textId="17614ECD" w:rsidR="000E3AE6" w:rsidRPr="000E3AE6" w:rsidRDefault="000E3AE6" w:rsidP="000E3AE6">
      <w:pPr>
        <w:rPr>
          <w:rFonts w:cstheme="minorHAnsi"/>
          <w:sz w:val="22"/>
          <w:szCs w:val="22"/>
        </w:rPr>
      </w:pPr>
      <w:proofErr w:type="spellStart"/>
      <w:r w:rsidRPr="000E3AE6">
        <w:rPr>
          <w:rFonts w:cstheme="minorHAnsi"/>
          <w:sz w:val="22"/>
          <w:szCs w:val="22"/>
        </w:rPr>
        <w:t>Stateville</w:t>
      </w:r>
      <w:proofErr w:type="spellEnd"/>
      <w:r w:rsidRPr="000E3AE6">
        <w:rPr>
          <w:rFonts w:cstheme="minorHAnsi"/>
          <w:sz w:val="22"/>
          <w:szCs w:val="22"/>
        </w:rPr>
        <w:t xml:space="preserve"> Correctional Center is coping with a COVID-19 outbreak, with the National Guard dispatching 30 of its service members to assist with medical care.  The </w:t>
      </w:r>
      <w:r w:rsidR="00A108AA">
        <w:rPr>
          <w:rFonts w:cstheme="minorHAnsi"/>
          <w:sz w:val="22"/>
          <w:szCs w:val="22"/>
        </w:rPr>
        <w:t>National Guard</w:t>
      </w:r>
      <w:r w:rsidRPr="000E3AE6">
        <w:rPr>
          <w:rFonts w:cstheme="minorHAnsi"/>
          <w:sz w:val="22"/>
          <w:szCs w:val="22"/>
        </w:rPr>
        <w:t xml:space="preserve"> response includes setting up medical tents, performing triage, and rendering medical assistance to inmates whose condition does not warrant hospitalization.</w:t>
      </w:r>
      <w:r w:rsidR="00366A68">
        <w:rPr>
          <w:rFonts w:cstheme="minorHAnsi"/>
          <w:sz w:val="22"/>
          <w:szCs w:val="22"/>
        </w:rPr>
        <w:t xml:space="preserve">  </w:t>
      </w:r>
      <w:r w:rsidRPr="000E3AE6">
        <w:rPr>
          <w:rFonts w:cstheme="minorHAnsi"/>
          <w:sz w:val="22"/>
          <w:szCs w:val="22"/>
        </w:rPr>
        <w:t>Meanwhile, a federal suit has been filed by civil rights attorneys to require the state to release certain prisoners, like the elderly and medically fragile.</w:t>
      </w:r>
    </w:p>
    <w:p w14:paraId="1CF37B67" w14:textId="72D80355" w:rsidR="000E3AE6" w:rsidRDefault="000E3AE6" w:rsidP="000E3AE6">
      <w:pPr>
        <w:rPr>
          <w:rFonts w:cstheme="minorHAnsi"/>
          <w:sz w:val="22"/>
          <w:szCs w:val="22"/>
        </w:rPr>
      </w:pPr>
    </w:p>
    <w:p w14:paraId="33F9E351" w14:textId="52C9975B" w:rsidR="00CE56B8" w:rsidRPr="000E3AE6" w:rsidRDefault="00366A68" w:rsidP="00366A68">
      <w:pPr>
        <w:rPr>
          <w:rFonts w:cstheme="minorHAnsi"/>
          <w:sz w:val="22"/>
          <w:szCs w:val="22"/>
        </w:rPr>
      </w:pPr>
      <w:r>
        <w:rPr>
          <w:rFonts w:cstheme="minorHAnsi"/>
          <w:sz w:val="22"/>
          <w:szCs w:val="22"/>
        </w:rPr>
        <w:t>Governor Pritzker issued another Executive Order</w:t>
      </w:r>
      <w:r w:rsidR="008779DF">
        <w:rPr>
          <w:rFonts w:cstheme="minorHAnsi"/>
          <w:sz w:val="22"/>
          <w:szCs w:val="22"/>
        </w:rPr>
        <w:t xml:space="preserve"> (</w:t>
      </w:r>
      <w:hyperlink r:id="rId4" w:history="1">
        <w:r w:rsidR="008779DF" w:rsidRPr="008779DF">
          <w:rPr>
            <w:rStyle w:val="Hyperlink"/>
            <w:rFonts w:cstheme="minorHAnsi"/>
            <w:sz w:val="22"/>
            <w:szCs w:val="22"/>
          </w:rPr>
          <w:t>Executive Order 2020-19</w:t>
        </w:r>
      </w:hyperlink>
      <w:r w:rsidR="008779DF">
        <w:rPr>
          <w:rFonts w:cstheme="minorHAnsi"/>
          <w:sz w:val="22"/>
          <w:szCs w:val="22"/>
        </w:rPr>
        <w:t>)</w:t>
      </w:r>
      <w:r>
        <w:rPr>
          <w:rFonts w:cstheme="minorHAnsi"/>
          <w:sz w:val="22"/>
          <w:szCs w:val="22"/>
        </w:rPr>
        <w:t xml:space="preserve"> designed to increase healthcare capacity.</w:t>
      </w:r>
      <w:r w:rsidRPr="000E3AE6">
        <w:rPr>
          <w:rFonts w:cstheme="minorHAnsi"/>
          <w:sz w:val="22"/>
          <w:szCs w:val="22"/>
        </w:rPr>
        <w:t xml:space="preserve">  Under this directive, health care facilities,</w:t>
      </w:r>
      <w:r w:rsidR="000B5574">
        <w:rPr>
          <w:rFonts w:cstheme="minorHAnsi"/>
          <w:sz w:val="22"/>
          <w:szCs w:val="22"/>
        </w:rPr>
        <w:t xml:space="preserve"> certain</w:t>
      </w:r>
      <w:r w:rsidRPr="000E3AE6">
        <w:rPr>
          <w:rFonts w:cstheme="minorHAnsi"/>
          <w:sz w:val="22"/>
          <w:szCs w:val="22"/>
        </w:rPr>
        <w:t xml:space="preserve"> health care professionals, and health care volunteers are required to render support to addressing the pandemic. This includes the cancellation by health care facilities of all elective surgeries and procedures; increasing the number of available beds; preserving Personal Protective Equipment; and implementing other preparation measures to treat COVID-19 patients. </w:t>
      </w:r>
    </w:p>
    <w:p w14:paraId="6A18D103" w14:textId="77777777" w:rsidR="00366A68" w:rsidRPr="000E3AE6" w:rsidRDefault="00366A68" w:rsidP="00366A68">
      <w:pPr>
        <w:rPr>
          <w:rFonts w:cstheme="minorHAnsi"/>
          <w:sz w:val="22"/>
          <w:szCs w:val="22"/>
        </w:rPr>
      </w:pPr>
    </w:p>
    <w:p w14:paraId="55174EC2" w14:textId="307273CA" w:rsidR="00366A68" w:rsidRPr="000E3AE6" w:rsidRDefault="00366A68" w:rsidP="00366A68">
      <w:pPr>
        <w:rPr>
          <w:rFonts w:cstheme="minorHAnsi"/>
          <w:sz w:val="22"/>
          <w:szCs w:val="22"/>
        </w:rPr>
      </w:pPr>
      <w:r w:rsidRPr="000E3AE6">
        <w:rPr>
          <w:rFonts w:cstheme="minorHAnsi"/>
          <w:sz w:val="22"/>
          <w:szCs w:val="22"/>
        </w:rPr>
        <w:t xml:space="preserve">Temporary hospitals continue to be developed.  Melrose Park’s Westlake Hospital is be reopened as a field hospital to care for those with less-severe cases of coronavirus.  The facility will offer 230 beds. </w:t>
      </w:r>
      <w:r w:rsidR="000B5574">
        <w:rPr>
          <w:rFonts w:cstheme="minorHAnsi"/>
          <w:sz w:val="22"/>
          <w:szCs w:val="22"/>
        </w:rPr>
        <w:t xml:space="preserve"> </w:t>
      </w:r>
    </w:p>
    <w:p w14:paraId="7A354D2D" w14:textId="77777777" w:rsidR="00366A68" w:rsidRPr="000E3AE6" w:rsidRDefault="00366A68" w:rsidP="00366A68">
      <w:pPr>
        <w:rPr>
          <w:rFonts w:cstheme="minorHAnsi"/>
          <w:sz w:val="22"/>
          <w:szCs w:val="22"/>
        </w:rPr>
      </w:pPr>
    </w:p>
    <w:p w14:paraId="69DEBC58" w14:textId="50EACD3B" w:rsidR="00366A68" w:rsidRDefault="00366A68" w:rsidP="00366A68">
      <w:pPr>
        <w:rPr>
          <w:rFonts w:cstheme="minorHAnsi"/>
          <w:sz w:val="22"/>
          <w:szCs w:val="22"/>
        </w:rPr>
      </w:pPr>
      <w:r w:rsidRPr="000E3AE6">
        <w:rPr>
          <w:rFonts w:cstheme="minorHAnsi"/>
          <w:sz w:val="22"/>
          <w:szCs w:val="22"/>
        </w:rPr>
        <w:t>Former and out-of-state health care professionals are answering the call to assist with the pandemic in Illinois.  To date, the state has received some 1</w:t>
      </w:r>
      <w:r>
        <w:rPr>
          <w:rFonts w:cstheme="minorHAnsi"/>
          <w:sz w:val="22"/>
          <w:szCs w:val="22"/>
        </w:rPr>
        <w:t>,</w:t>
      </w:r>
      <w:r w:rsidRPr="000E3AE6">
        <w:rPr>
          <w:rFonts w:cstheme="minorHAnsi"/>
          <w:sz w:val="22"/>
          <w:szCs w:val="22"/>
        </w:rPr>
        <w:t xml:space="preserve">100 applications from these individuals. </w:t>
      </w:r>
    </w:p>
    <w:p w14:paraId="5AD01E0F" w14:textId="7D1E062E" w:rsidR="00CE56B8" w:rsidRPr="00CE56B8" w:rsidRDefault="00CE56B8" w:rsidP="00366A68">
      <w:pPr>
        <w:rPr>
          <w:rFonts w:cstheme="minorHAnsi"/>
          <w:color w:val="000000" w:themeColor="text1"/>
          <w:sz w:val="22"/>
          <w:szCs w:val="22"/>
        </w:rPr>
      </w:pPr>
    </w:p>
    <w:p w14:paraId="1544D2CA" w14:textId="6117AF5E" w:rsidR="00CE56B8" w:rsidRPr="00CE56B8" w:rsidRDefault="008779DF" w:rsidP="00CE56B8">
      <w:pPr>
        <w:rPr>
          <w:rFonts w:eastAsia="Times New Roman" w:cstheme="minorHAnsi"/>
          <w:color w:val="000000" w:themeColor="text1"/>
          <w:sz w:val="22"/>
          <w:szCs w:val="22"/>
        </w:rPr>
      </w:pPr>
      <w:r>
        <w:rPr>
          <w:rFonts w:eastAsia="Times New Roman" w:cstheme="minorHAnsi"/>
          <w:color w:val="000000" w:themeColor="text1"/>
          <w:sz w:val="22"/>
          <w:szCs w:val="22"/>
        </w:rPr>
        <w:t>The EO also</w:t>
      </w:r>
      <w:r w:rsidR="00CE56B8" w:rsidRPr="00CE56B8">
        <w:rPr>
          <w:rFonts w:eastAsia="Times New Roman" w:cstheme="minorHAnsi"/>
          <w:color w:val="000000" w:themeColor="text1"/>
          <w:sz w:val="22"/>
          <w:szCs w:val="22"/>
        </w:rPr>
        <w:t xml:space="preserve"> grant</w:t>
      </w:r>
      <w:r>
        <w:rPr>
          <w:rFonts w:eastAsia="Times New Roman" w:cstheme="minorHAnsi"/>
          <w:color w:val="000000" w:themeColor="text1"/>
          <w:sz w:val="22"/>
          <w:szCs w:val="22"/>
        </w:rPr>
        <w:t>s</w:t>
      </w:r>
      <w:r w:rsidR="00CE56B8" w:rsidRPr="00CE56B8">
        <w:rPr>
          <w:rFonts w:eastAsia="Times New Roman" w:cstheme="minorHAnsi"/>
          <w:color w:val="000000" w:themeColor="text1"/>
          <w:sz w:val="22"/>
          <w:szCs w:val="22"/>
        </w:rPr>
        <w:t xml:space="preserve"> many health care providers immunity from civil liability during the COVID-19 crisis.</w:t>
      </w:r>
      <w:r>
        <w:rPr>
          <w:rFonts w:eastAsia="Times New Roman" w:cstheme="minorHAnsi"/>
          <w:color w:val="000000" w:themeColor="text1"/>
          <w:sz w:val="22"/>
          <w:szCs w:val="22"/>
        </w:rPr>
        <w:t xml:space="preserve"> </w:t>
      </w:r>
      <w:r w:rsidR="00CE56B8" w:rsidRPr="00CE56B8">
        <w:rPr>
          <w:rFonts w:eastAsia="Times New Roman" w:cstheme="minorHAnsi"/>
          <w:color w:val="000000" w:themeColor="text1"/>
          <w:sz w:val="22"/>
          <w:szCs w:val="22"/>
        </w:rPr>
        <w:t>If hospitals, clinics, community-integrated living facilities, community mental health centers and others are providing COVID-19 healthcare services, they cannot be sued "for any injury or death alleged to have been caused by any act or omission by the Health Care Facility, which injury or death occurred at a time when a Health Care Facility was engaged in the course of rendering assistance to the State by providing health care services in response to the COVID-19 outbreak," until after the governor's disaster declaration finally expires. </w:t>
      </w:r>
    </w:p>
    <w:p w14:paraId="0C5744CF" w14:textId="77777777" w:rsidR="00CE56B8" w:rsidRPr="00CE56B8" w:rsidRDefault="00CE56B8" w:rsidP="00CE56B8">
      <w:pPr>
        <w:rPr>
          <w:rFonts w:eastAsia="Times New Roman" w:cstheme="minorHAnsi"/>
          <w:color w:val="000000" w:themeColor="text1"/>
          <w:sz w:val="22"/>
          <w:szCs w:val="22"/>
        </w:rPr>
      </w:pPr>
      <w:r w:rsidRPr="00CE56B8">
        <w:rPr>
          <w:rFonts w:eastAsia="Times New Roman" w:cstheme="minorHAnsi"/>
          <w:color w:val="000000" w:themeColor="text1"/>
          <w:sz w:val="22"/>
          <w:szCs w:val="22"/>
        </w:rPr>
        <w:t> </w:t>
      </w:r>
    </w:p>
    <w:p w14:paraId="0AF7803C" w14:textId="0CB64D18" w:rsidR="00CE56B8" w:rsidRPr="00CE56B8" w:rsidRDefault="0011154C" w:rsidP="00CE56B8">
      <w:pPr>
        <w:rPr>
          <w:rFonts w:eastAsia="Times New Roman" w:cstheme="minorHAnsi"/>
          <w:color w:val="000000" w:themeColor="text1"/>
          <w:sz w:val="22"/>
          <w:szCs w:val="22"/>
        </w:rPr>
      </w:pPr>
      <w:r>
        <w:rPr>
          <w:rFonts w:eastAsia="Times New Roman" w:cstheme="minorHAnsi"/>
          <w:color w:val="000000" w:themeColor="text1"/>
          <w:sz w:val="22"/>
          <w:szCs w:val="22"/>
        </w:rPr>
        <w:t>T</w:t>
      </w:r>
      <w:r w:rsidR="00CE56B8" w:rsidRPr="00CE56B8">
        <w:rPr>
          <w:rFonts w:eastAsia="Times New Roman" w:cstheme="minorHAnsi"/>
          <w:color w:val="000000" w:themeColor="text1"/>
          <w:sz w:val="22"/>
          <w:szCs w:val="22"/>
        </w:rPr>
        <w:t>he same goes for doctors, nurses, emergency medical service workers and health care volunteers. They're all immune to civil liability if they are providing services to any of those aforementioned facilities which are dealing with the pandemic.</w:t>
      </w:r>
    </w:p>
    <w:p w14:paraId="53FF38C4" w14:textId="77777777" w:rsidR="00CE56B8" w:rsidRPr="00CE56B8" w:rsidRDefault="00CE56B8" w:rsidP="00CE56B8">
      <w:pPr>
        <w:rPr>
          <w:rFonts w:eastAsia="Times New Roman" w:cstheme="minorHAnsi"/>
          <w:color w:val="000000" w:themeColor="text1"/>
          <w:sz w:val="22"/>
          <w:szCs w:val="22"/>
        </w:rPr>
      </w:pPr>
      <w:r w:rsidRPr="00CE56B8">
        <w:rPr>
          <w:rFonts w:eastAsia="Times New Roman" w:cstheme="minorHAnsi"/>
          <w:color w:val="000000" w:themeColor="text1"/>
          <w:sz w:val="22"/>
          <w:szCs w:val="22"/>
        </w:rPr>
        <w:t> </w:t>
      </w:r>
    </w:p>
    <w:p w14:paraId="01318F2C" w14:textId="77777777" w:rsidR="00CE56B8" w:rsidRPr="00CE56B8" w:rsidRDefault="00CE56B8" w:rsidP="00CE56B8">
      <w:pPr>
        <w:rPr>
          <w:rFonts w:eastAsia="Times New Roman" w:cstheme="minorHAnsi"/>
          <w:color w:val="000000" w:themeColor="text1"/>
          <w:sz w:val="22"/>
          <w:szCs w:val="22"/>
        </w:rPr>
      </w:pPr>
      <w:r w:rsidRPr="00CE56B8">
        <w:rPr>
          <w:rFonts w:eastAsia="Times New Roman" w:cstheme="minorHAnsi"/>
          <w:color w:val="000000" w:themeColor="text1"/>
          <w:sz w:val="22"/>
          <w:szCs w:val="22"/>
        </w:rPr>
        <w:t>To be clear, this EO covers not just the treatment of pandemic cases, but every service offered during the pandemic, as long as the institutions are involved in the response.  If you, for instance, fall and break your leg and the hospital botches the treatment, they'd still be theoretically immune to lawsuits, as long as it didn't involve "gross negligence or willful misconduct."</w:t>
      </w:r>
    </w:p>
    <w:p w14:paraId="6404BD87" w14:textId="77777777" w:rsidR="00366A68" w:rsidRPr="000E3AE6" w:rsidRDefault="00366A68" w:rsidP="000E3AE6">
      <w:pPr>
        <w:rPr>
          <w:rFonts w:cstheme="minorHAnsi"/>
          <w:sz w:val="22"/>
          <w:szCs w:val="22"/>
        </w:rPr>
      </w:pPr>
    </w:p>
    <w:p w14:paraId="175C433B" w14:textId="646D9DD3" w:rsidR="004B3F6A" w:rsidRPr="000E3AE6" w:rsidRDefault="003E7880">
      <w:pPr>
        <w:rPr>
          <w:rFonts w:cstheme="minorHAnsi"/>
          <w:sz w:val="22"/>
          <w:szCs w:val="22"/>
        </w:rPr>
      </w:pPr>
      <w:r w:rsidRPr="000E3AE6">
        <w:rPr>
          <w:rFonts w:cstheme="minorHAnsi"/>
          <w:sz w:val="22"/>
          <w:szCs w:val="22"/>
        </w:rPr>
        <w:t>Expanding the capa</w:t>
      </w:r>
      <w:r w:rsidR="003211C2" w:rsidRPr="000E3AE6">
        <w:rPr>
          <w:rFonts w:cstheme="minorHAnsi"/>
          <w:sz w:val="22"/>
          <w:szCs w:val="22"/>
        </w:rPr>
        <w:t>city of</w:t>
      </w:r>
      <w:r w:rsidRPr="000E3AE6">
        <w:rPr>
          <w:rFonts w:cstheme="minorHAnsi"/>
          <w:sz w:val="22"/>
          <w:szCs w:val="22"/>
        </w:rPr>
        <w:t xml:space="preserve"> services available during the pandemic for survivors of sexual assault or domestic abuse is the aim of a recently announced plan. The Illinois Department of Human Services said it will be providing $1.2 million </w:t>
      </w:r>
      <w:r w:rsidR="003211C2" w:rsidRPr="000E3AE6">
        <w:rPr>
          <w:rFonts w:cstheme="minorHAnsi"/>
          <w:sz w:val="22"/>
          <w:szCs w:val="22"/>
        </w:rPr>
        <w:t>to its statewide network of services. Among the specific measures:  bolstering its Domestic Violence Helpline by incorporating a “one-stop access point” for shelter needs.</w:t>
      </w:r>
    </w:p>
    <w:p w14:paraId="5C4C9951" w14:textId="01A2A753" w:rsidR="003211C2" w:rsidRPr="000E3AE6" w:rsidRDefault="003211C2">
      <w:pPr>
        <w:rPr>
          <w:rFonts w:cstheme="minorHAnsi"/>
          <w:sz w:val="22"/>
          <w:szCs w:val="22"/>
        </w:rPr>
      </w:pPr>
    </w:p>
    <w:p w14:paraId="3142E0B0" w14:textId="620A61D5" w:rsidR="003211C2" w:rsidRPr="000E3AE6" w:rsidRDefault="00B84579">
      <w:pPr>
        <w:rPr>
          <w:rFonts w:cstheme="minorHAnsi"/>
          <w:sz w:val="22"/>
          <w:szCs w:val="22"/>
        </w:rPr>
      </w:pPr>
      <w:r>
        <w:rPr>
          <w:rFonts w:cstheme="minorHAnsi"/>
          <w:sz w:val="22"/>
          <w:szCs w:val="22"/>
        </w:rPr>
        <w:t>The</w:t>
      </w:r>
      <w:r w:rsidR="003211C2" w:rsidRPr="000E3AE6">
        <w:rPr>
          <w:rFonts w:cstheme="minorHAnsi"/>
          <w:sz w:val="22"/>
          <w:szCs w:val="22"/>
        </w:rPr>
        <w:t xml:space="preserve"> Illinois Gaming Board has extended its suspension of all video gaming at licensed establishments, as well as </w:t>
      </w:r>
      <w:r w:rsidR="003F1D1D" w:rsidRPr="000E3AE6">
        <w:rPr>
          <w:rFonts w:cstheme="minorHAnsi"/>
          <w:sz w:val="22"/>
          <w:szCs w:val="22"/>
        </w:rPr>
        <w:t xml:space="preserve">at </w:t>
      </w:r>
      <w:r w:rsidR="003211C2" w:rsidRPr="000E3AE6">
        <w:rPr>
          <w:rFonts w:cstheme="minorHAnsi"/>
          <w:sz w:val="22"/>
          <w:szCs w:val="22"/>
        </w:rPr>
        <w:t>all casino gambling operations</w:t>
      </w:r>
      <w:r>
        <w:rPr>
          <w:rFonts w:cstheme="minorHAnsi"/>
          <w:sz w:val="22"/>
          <w:szCs w:val="22"/>
        </w:rPr>
        <w:t xml:space="preserve"> until April 30</w:t>
      </w:r>
      <w:r w:rsidRPr="00B84579">
        <w:rPr>
          <w:rFonts w:cstheme="minorHAnsi"/>
          <w:sz w:val="22"/>
          <w:szCs w:val="22"/>
          <w:vertAlign w:val="superscript"/>
        </w:rPr>
        <w:t>th</w:t>
      </w:r>
      <w:r>
        <w:rPr>
          <w:rFonts w:cstheme="minorHAnsi"/>
          <w:sz w:val="22"/>
          <w:szCs w:val="22"/>
        </w:rPr>
        <w:t xml:space="preserve">. </w:t>
      </w:r>
    </w:p>
    <w:p w14:paraId="46E7DF07" w14:textId="4863EB08" w:rsidR="003F1D1D" w:rsidRPr="000E3AE6" w:rsidRDefault="003F1D1D">
      <w:pPr>
        <w:rPr>
          <w:rFonts w:cstheme="minorHAnsi"/>
          <w:sz w:val="22"/>
          <w:szCs w:val="22"/>
        </w:rPr>
      </w:pPr>
    </w:p>
    <w:p w14:paraId="0B9662B7" w14:textId="312EAA04" w:rsidR="003F1D1D" w:rsidRPr="000E3AE6" w:rsidRDefault="003F1D1D">
      <w:pPr>
        <w:rPr>
          <w:rFonts w:cstheme="minorHAnsi"/>
          <w:sz w:val="22"/>
          <w:szCs w:val="22"/>
        </w:rPr>
      </w:pPr>
      <w:r w:rsidRPr="000E3AE6">
        <w:rPr>
          <w:rFonts w:cstheme="minorHAnsi"/>
          <w:sz w:val="22"/>
          <w:szCs w:val="22"/>
        </w:rPr>
        <w:t xml:space="preserve">The latest guidance by the Illinois State Board of Education for Illinois school districts can be accessed </w:t>
      </w:r>
      <w:hyperlink r:id="rId5" w:history="1">
        <w:r w:rsidR="00A108AA" w:rsidRPr="009E3BE1">
          <w:rPr>
            <w:rStyle w:val="Hyperlink"/>
            <w:rFonts w:cstheme="minorHAnsi"/>
            <w:sz w:val="22"/>
            <w:szCs w:val="22"/>
          </w:rPr>
          <w:t>h</w:t>
        </w:r>
        <w:r w:rsidR="00A108AA">
          <w:rPr>
            <w:rStyle w:val="Hyperlink"/>
            <w:rFonts w:cstheme="minorHAnsi"/>
            <w:sz w:val="22"/>
            <w:szCs w:val="22"/>
          </w:rPr>
          <w:t>ere.</w:t>
        </w:r>
      </w:hyperlink>
      <w:r w:rsidR="00A108AA">
        <w:rPr>
          <w:rFonts w:cstheme="minorHAnsi"/>
          <w:sz w:val="22"/>
          <w:szCs w:val="22"/>
          <w:u w:val="single"/>
        </w:rPr>
        <w:t xml:space="preserve">  </w:t>
      </w:r>
      <w:r w:rsidRPr="000E3AE6">
        <w:rPr>
          <w:rFonts w:cstheme="minorHAnsi"/>
          <w:sz w:val="22"/>
          <w:szCs w:val="22"/>
        </w:rPr>
        <w:t>For the remainder of the school year, Indiana and Michigan have closed their K-12 schools. Governor Pritzker has said that it is too early to make that decision on Illinois’ schools.</w:t>
      </w:r>
    </w:p>
    <w:p w14:paraId="74DCAA1D" w14:textId="77777777" w:rsidR="00706979" w:rsidRPr="000E3AE6" w:rsidRDefault="00706979">
      <w:pPr>
        <w:rPr>
          <w:rFonts w:cstheme="minorHAnsi"/>
          <w:sz w:val="22"/>
          <w:szCs w:val="22"/>
        </w:rPr>
      </w:pPr>
    </w:p>
    <w:p w14:paraId="7404C717" w14:textId="7656B829" w:rsidR="00B4069D" w:rsidRDefault="00B4069D" w:rsidP="000E3AE6">
      <w:pPr>
        <w:rPr>
          <w:rFonts w:cstheme="minorHAnsi"/>
          <w:b/>
          <w:bCs/>
          <w:sz w:val="28"/>
          <w:szCs w:val="28"/>
        </w:rPr>
      </w:pPr>
      <w:r>
        <w:rPr>
          <w:rFonts w:cstheme="minorHAnsi"/>
          <w:b/>
          <w:bCs/>
          <w:sz w:val="28"/>
          <w:szCs w:val="28"/>
        </w:rPr>
        <w:t>CANNABIS:</w:t>
      </w:r>
    </w:p>
    <w:p w14:paraId="77E3F201" w14:textId="4D0CDDEB" w:rsidR="00B4069D" w:rsidRDefault="00B4069D" w:rsidP="00B4069D">
      <w:pPr>
        <w:rPr>
          <w:rFonts w:cstheme="minorHAnsi"/>
          <w:sz w:val="22"/>
          <w:szCs w:val="22"/>
        </w:rPr>
      </w:pPr>
      <w:r w:rsidRPr="00B4069D">
        <w:rPr>
          <w:rFonts w:cstheme="minorHAnsi"/>
          <w:sz w:val="22"/>
          <w:szCs w:val="22"/>
        </w:rPr>
        <w:t>Statewide adult-use cannabis sales in March totaled $35,902,543.22. Dispensaries across the state sold 812,203 items over the 31-day period. Sales to Illinois residents totaled $27,096,931.23, while sales to out-of-state residents totaled $8,805,611.99.</w:t>
      </w:r>
    </w:p>
    <w:p w14:paraId="6F5BAC22" w14:textId="77777777" w:rsidR="00B4069D" w:rsidRPr="00B4069D" w:rsidRDefault="00B4069D" w:rsidP="00B4069D">
      <w:pPr>
        <w:rPr>
          <w:sz w:val="22"/>
          <w:szCs w:val="22"/>
        </w:rPr>
      </w:pPr>
    </w:p>
    <w:p w14:paraId="01AA647B" w14:textId="3C891B04" w:rsidR="00B4069D" w:rsidRPr="00B4069D" w:rsidRDefault="00B4069D" w:rsidP="00B4069D">
      <w:pPr>
        <w:rPr>
          <w:rFonts w:cstheme="minorHAnsi"/>
          <w:sz w:val="22"/>
          <w:szCs w:val="22"/>
        </w:rPr>
      </w:pPr>
      <w:r>
        <w:rPr>
          <w:sz w:val="22"/>
          <w:szCs w:val="22"/>
        </w:rPr>
        <w:t>During the COVID-19 outbreak, d</w:t>
      </w:r>
      <w:r w:rsidRPr="00B4069D">
        <w:rPr>
          <w:sz w:val="22"/>
          <w:szCs w:val="22"/>
        </w:rPr>
        <w:t xml:space="preserve">ispensaries are permitted to sell medical cannabis outside of their limited access area on their property or on a public walkway or curb adjacent to the dispensary. Medical cannabis patients </w:t>
      </w:r>
      <w:r>
        <w:rPr>
          <w:sz w:val="22"/>
          <w:szCs w:val="22"/>
        </w:rPr>
        <w:t>can</w:t>
      </w:r>
      <w:r w:rsidRPr="00B4069D">
        <w:rPr>
          <w:sz w:val="22"/>
          <w:szCs w:val="22"/>
        </w:rPr>
        <w:t xml:space="preserve"> utilize their designated caregiver to purchase medicine </w:t>
      </w:r>
      <w:r>
        <w:rPr>
          <w:sz w:val="22"/>
          <w:szCs w:val="22"/>
        </w:rPr>
        <w:t>on their behalf</w:t>
      </w:r>
      <w:r w:rsidRPr="00B4069D">
        <w:rPr>
          <w:sz w:val="22"/>
          <w:szCs w:val="22"/>
        </w:rPr>
        <w:t xml:space="preserve">. A complete list of the rules extended may be found </w:t>
      </w:r>
      <w:hyperlink r:id="rId6" w:history="1">
        <w:r w:rsidRPr="00B4069D">
          <w:rPr>
            <w:rStyle w:val="Hyperlink"/>
            <w:sz w:val="22"/>
            <w:szCs w:val="22"/>
          </w:rPr>
          <w:t>here</w:t>
        </w:r>
      </w:hyperlink>
      <w:r w:rsidRPr="00B4069D">
        <w:rPr>
          <w:sz w:val="22"/>
          <w:szCs w:val="22"/>
        </w:rPr>
        <w:t>.</w:t>
      </w:r>
    </w:p>
    <w:p w14:paraId="4229375B" w14:textId="77777777" w:rsidR="00B4069D" w:rsidRPr="00B4069D" w:rsidRDefault="00B4069D" w:rsidP="00B4069D">
      <w:pPr>
        <w:rPr>
          <w:rFonts w:cstheme="minorHAnsi"/>
          <w:b/>
          <w:bCs/>
          <w:sz w:val="22"/>
          <w:szCs w:val="22"/>
        </w:rPr>
      </w:pPr>
    </w:p>
    <w:p w14:paraId="73D9DEF0" w14:textId="5B47FEBF" w:rsidR="000E3AE6" w:rsidRPr="000E3AE6" w:rsidRDefault="000E3AE6" w:rsidP="000E3AE6">
      <w:pPr>
        <w:rPr>
          <w:rFonts w:cstheme="minorHAnsi"/>
          <w:b/>
          <w:bCs/>
          <w:sz w:val="28"/>
          <w:szCs w:val="28"/>
        </w:rPr>
      </w:pPr>
      <w:r w:rsidRPr="000E3AE6">
        <w:rPr>
          <w:rFonts w:cstheme="minorHAnsi"/>
          <w:b/>
          <w:bCs/>
          <w:sz w:val="28"/>
          <w:szCs w:val="28"/>
        </w:rPr>
        <w:t>101</w:t>
      </w:r>
      <w:r w:rsidRPr="000E3AE6">
        <w:rPr>
          <w:rFonts w:cstheme="minorHAnsi"/>
          <w:b/>
          <w:bCs/>
          <w:sz w:val="28"/>
          <w:szCs w:val="28"/>
          <w:vertAlign w:val="superscript"/>
        </w:rPr>
        <w:t>st</w:t>
      </w:r>
      <w:r w:rsidRPr="000E3AE6">
        <w:rPr>
          <w:rFonts w:cstheme="minorHAnsi"/>
          <w:b/>
          <w:bCs/>
          <w:sz w:val="28"/>
          <w:szCs w:val="28"/>
        </w:rPr>
        <w:t xml:space="preserve"> GENERAL ASSEMBLY:</w:t>
      </w:r>
    </w:p>
    <w:p w14:paraId="225868F9" w14:textId="2ABBAD9B" w:rsidR="000E3AE6" w:rsidRPr="000E3AE6" w:rsidRDefault="000E3AE6" w:rsidP="000E3AE6">
      <w:pPr>
        <w:rPr>
          <w:rFonts w:cstheme="minorHAnsi"/>
          <w:sz w:val="22"/>
          <w:szCs w:val="22"/>
        </w:rPr>
      </w:pPr>
      <w:r w:rsidRPr="000E3AE6">
        <w:rPr>
          <w:rFonts w:cstheme="minorHAnsi"/>
          <w:sz w:val="22"/>
          <w:szCs w:val="22"/>
        </w:rPr>
        <w:t xml:space="preserve">The Joint Commission on Administrative Rules met in Springfield this week to extend various emergency rules before they expire.  </w:t>
      </w:r>
      <w:r w:rsidR="000B5574">
        <w:rPr>
          <w:rFonts w:cstheme="minorHAnsi"/>
          <w:sz w:val="22"/>
          <w:szCs w:val="22"/>
        </w:rPr>
        <w:t>The meeting was closed to the public</w:t>
      </w:r>
      <w:r w:rsidRPr="000E3AE6">
        <w:rPr>
          <w:rFonts w:cstheme="minorHAnsi"/>
          <w:sz w:val="22"/>
          <w:szCs w:val="22"/>
        </w:rPr>
        <w:t xml:space="preserve">. </w:t>
      </w:r>
    </w:p>
    <w:p w14:paraId="424664B7" w14:textId="77777777" w:rsidR="000E3AE6" w:rsidRDefault="000E3AE6" w:rsidP="000E3AE6">
      <w:pPr>
        <w:rPr>
          <w:rFonts w:cstheme="minorHAnsi"/>
          <w:sz w:val="22"/>
          <w:szCs w:val="22"/>
        </w:rPr>
      </w:pPr>
    </w:p>
    <w:p w14:paraId="3125FB6B" w14:textId="053C401B" w:rsidR="000E3AE6" w:rsidRPr="000E3AE6" w:rsidRDefault="000E3AE6" w:rsidP="000E3AE6">
      <w:pPr>
        <w:rPr>
          <w:rFonts w:cstheme="minorHAnsi"/>
          <w:sz w:val="22"/>
          <w:szCs w:val="22"/>
        </w:rPr>
      </w:pPr>
      <w:r w:rsidRPr="000E3AE6">
        <w:rPr>
          <w:rFonts w:cstheme="minorHAnsi"/>
          <w:sz w:val="22"/>
          <w:szCs w:val="22"/>
        </w:rPr>
        <w:t>Originally scheduled for release on March 31, 2020, the final report of the Joint Commission on Ethics and Lobbying Reform has been delayed by the pandemic.  The JCELR cancelled its final meeting before the target release date, and acknowledged being hobbled by the coronavirus with respect to in-person meetings. A draft of the report is being composed by members working remotely.</w:t>
      </w:r>
      <w:r w:rsidR="00A108AA">
        <w:rPr>
          <w:rFonts w:cstheme="minorHAnsi"/>
          <w:sz w:val="22"/>
          <w:szCs w:val="22"/>
        </w:rPr>
        <w:t xml:space="preserve">  No word yet when a final report will be released. </w:t>
      </w:r>
    </w:p>
    <w:p w14:paraId="23BAEBA5" w14:textId="77777777" w:rsidR="000E3AE6" w:rsidRPr="000E3AE6" w:rsidRDefault="000E3AE6" w:rsidP="000E3AE6">
      <w:pPr>
        <w:rPr>
          <w:rFonts w:cstheme="minorHAnsi"/>
          <w:sz w:val="22"/>
          <w:szCs w:val="22"/>
        </w:rPr>
      </w:pPr>
    </w:p>
    <w:p w14:paraId="54EEE691" w14:textId="4C85D898" w:rsidR="000E3AE6" w:rsidRPr="000E3AE6" w:rsidRDefault="000E3AE6" w:rsidP="000E3AE6">
      <w:pPr>
        <w:rPr>
          <w:rFonts w:cstheme="minorHAnsi"/>
          <w:sz w:val="22"/>
          <w:szCs w:val="22"/>
        </w:rPr>
      </w:pPr>
      <w:r>
        <w:rPr>
          <w:rFonts w:cstheme="minorHAnsi"/>
          <w:sz w:val="22"/>
          <w:szCs w:val="22"/>
        </w:rPr>
        <w:t>The General Assembly remains</w:t>
      </w:r>
      <w:r w:rsidR="004D2A91">
        <w:rPr>
          <w:rFonts w:cstheme="minorHAnsi"/>
          <w:sz w:val="22"/>
          <w:szCs w:val="22"/>
        </w:rPr>
        <w:t xml:space="preserve"> adjourned until further notice</w:t>
      </w:r>
      <w:r>
        <w:rPr>
          <w:rFonts w:cstheme="minorHAnsi"/>
          <w:sz w:val="22"/>
          <w:szCs w:val="22"/>
        </w:rPr>
        <w:t xml:space="preserve">.  Legislative leaders are determining the best and safest way to reconvene. </w:t>
      </w:r>
      <w:r w:rsidR="004D2A91">
        <w:rPr>
          <w:rFonts w:cstheme="minorHAnsi"/>
          <w:sz w:val="22"/>
          <w:szCs w:val="22"/>
        </w:rPr>
        <w:t xml:space="preserve">The Capitol Complex remains closed to the public at this time. Crafting a FY2021 budget remains a high priority for the General Assembly. Governor Pritzker acknowledged that the final budget for next year will look dramatically different than the one he proposed in February given the circumstances of the global pandemic.  The Governor’s Office of Management and Budget continues to work on revised budget and revenue projections. </w:t>
      </w:r>
    </w:p>
    <w:p w14:paraId="53EADAD4" w14:textId="77777777" w:rsidR="000E3AE6" w:rsidRPr="000E3AE6" w:rsidRDefault="000E3AE6">
      <w:pPr>
        <w:rPr>
          <w:rFonts w:cstheme="minorHAnsi"/>
          <w:sz w:val="22"/>
          <w:szCs w:val="22"/>
        </w:rPr>
      </w:pPr>
    </w:p>
    <w:p w14:paraId="3708703E" w14:textId="59C6C05B" w:rsidR="00FD451E" w:rsidRPr="000E3AE6" w:rsidRDefault="00FD451E">
      <w:pPr>
        <w:rPr>
          <w:rFonts w:cstheme="minorHAnsi"/>
          <w:sz w:val="22"/>
          <w:szCs w:val="22"/>
        </w:rPr>
      </w:pPr>
    </w:p>
    <w:p w14:paraId="41C249A3" w14:textId="558FCBC1" w:rsidR="003A1D6D" w:rsidRPr="000E3AE6" w:rsidRDefault="003A1D6D">
      <w:pPr>
        <w:rPr>
          <w:rFonts w:cstheme="minorHAnsi"/>
          <w:sz w:val="22"/>
          <w:szCs w:val="22"/>
        </w:rPr>
      </w:pPr>
    </w:p>
    <w:p w14:paraId="08888747" w14:textId="78BA724D" w:rsidR="003A1D6D" w:rsidRPr="000E3AE6" w:rsidRDefault="003A1D6D">
      <w:pPr>
        <w:rPr>
          <w:rFonts w:cstheme="minorHAnsi"/>
          <w:sz w:val="22"/>
          <w:szCs w:val="22"/>
        </w:rPr>
      </w:pPr>
    </w:p>
    <w:p w14:paraId="23BFE711" w14:textId="14102AA8" w:rsidR="003A1D6D" w:rsidRPr="000E3AE6" w:rsidRDefault="003A1D6D">
      <w:pPr>
        <w:rPr>
          <w:rFonts w:cstheme="minorHAnsi"/>
          <w:sz w:val="22"/>
          <w:szCs w:val="22"/>
        </w:rPr>
      </w:pPr>
    </w:p>
    <w:p w14:paraId="577588DC" w14:textId="50616811" w:rsidR="003A1D6D" w:rsidRPr="000E3AE6" w:rsidRDefault="003A1D6D">
      <w:pPr>
        <w:rPr>
          <w:rFonts w:cstheme="minorHAnsi"/>
          <w:sz w:val="22"/>
          <w:szCs w:val="22"/>
        </w:rPr>
      </w:pPr>
    </w:p>
    <w:p w14:paraId="3428159C" w14:textId="00D1E28F" w:rsidR="003A1D6D" w:rsidRPr="000E3AE6" w:rsidRDefault="003A1D6D">
      <w:pPr>
        <w:rPr>
          <w:rFonts w:cstheme="minorHAnsi"/>
          <w:sz w:val="22"/>
          <w:szCs w:val="22"/>
        </w:rPr>
      </w:pPr>
    </w:p>
    <w:p w14:paraId="0EED361C" w14:textId="3D417F74" w:rsidR="003A1D6D" w:rsidRPr="000E3AE6" w:rsidRDefault="003A1D6D">
      <w:pPr>
        <w:rPr>
          <w:rFonts w:cstheme="minorHAnsi"/>
          <w:sz w:val="22"/>
          <w:szCs w:val="22"/>
        </w:rPr>
      </w:pPr>
    </w:p>
    <w:p w14:paraId="14C35BB9" w14:textId="25A28A72" w:rsidR="003A1D6D" w:rsidRPr="000E3AE6" w:rsidRDefault="003A1D6D">
      <w:pPr>
        <w:rPr>
          <w:rFonts w:cstheme="minorHAnsi"/>
          <w:sz w:val="22"/>
          <w:szCs w:val="22"/>
        </w:rPr>
      </w:pPr>
    </w:p>
    <w:p w14:paraId="67A600C4" w14:textId="667858BC" w:rsidR="003A1D6D" w:rsidRPr="000E3AE6" w:rsidRDefault="003A1D6D">
      <w:pPr>
        <w:rPr>
          <w:rFonts w:cstheme="minorHAnsi"/>
          <w:sz w:val="22"/>
          <w:szCs w:val="22"/>
        </w:rPr>
      </w:pPr>
    </w:p>
    <w:p w14:paraId="31F115F7" w14:textId="77777777" w:rsidR="003A1D6D" w:rsidRPr="000E3AE6" w:rsidRDefault="003A1D6D">
      <w:pPr>
        <w:rPr>
          <w:rFonts w:cstheme="minorHAnsi"/>
          <w:sz w:val="22"/>
          <w:szCs w:val="22"/>
        </w:rPr>
      </w:pPr>
    </w:p>
    <w:sectPr w:rsidR="003A1D6D" w:rsidRPr="000E3AE6" w:rsidSect="00D80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348"/>
    <w:rsid w:val="00050584"/>
    <w:rsid w:val="000B5574"/>
    <w:rsid w:val="000E3AE6"/>
    <w:rsid w:val="0011154C"/>
    <w:rsid w:val="00126229"/>
    <w:rsid w:val="001923D6"/>
    <w:rsid w:val="002E4D6C"/>
    <w:rsid w:val="003211C2"/>
    <w:rsid w:val="00366A68"/>
    <w:rsid w:val="003A1D6D"/>
    <w:rsid w:val="003E7880"/>
    <w:rsid w:val="003F1D1D"/>
    <w:rsid w:val="0048642E"/>
    <w:rsid w:val="004B3F6A"/>
    <w:rsid w:val="004D2A91"/>
    <w:rsid w:val="004D68D5"/>
    <w:rsid w:val="005E7F14"/>
    <w:rsid w:val="00613ED6"/>
    <w:rsid w:val="006458D8"/>
    <w:rsid w:val="00686D18"/>
    <w:rsid w:val="00687A45"/>
    <w:rsid w:val="00706979"/>
    <w:rsid w:val="007204E6"/>
    <w:rsid w:val="008769EA"/>
    <w:rsid w:val="008779DF"/>
    <w:rsid w:val="00A108AA"/>
    <w:rsid w:val="00B4069D"/>
    <w:rsid w:val="00B84579"/>
    <w:rsid w:val="00BE7D85"/>
    <w:rsid w:val="00C80D1A"/>
    <w:rsid w:val="00CE56B8"/>
    <w:rsid w:val="00D36647"/>
    <w:rsid w:val="00D80348"/>
    <w:rsid w:val="00DC7FD6"/>
    <w:rsid w:val="00DD36CB"/>
    <w:rsid w:val="00F143FE"/>
    <w:rsid w:val="00F46716"/>
    <w:rsid w:val="00F70C25"/>
    <w:rsid w:val="00FD4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0946"/>
  <w15:chartTrackingRefBased/>
  <w15:docId w15:val="{DE6716E7-BE8D-5448-9364-630272C7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8AA"/>
    <w:rPr>
      <w:color w:val="0563C1" w:themeColor="hyperlink"/>
      <w:u w:val="single"/>
    </w:rPr>
  </w:style>
  <w:style w:type="character" w:styleId="UnresolvedMention">
    <w:name w:val="Unresolved Mention"/>
    <w:basedOn w:val="DefaultParagraphFont"/>
    <w:uiPriority w:val="99"/>
    <w:semiHidden/>
    <w:unhideWhenUsed/>
    <w:rsid w:val="00A108AA"/>
    <w:rPr>
      <w:color w:val="605E5C"/>
      <w:shd w:val="clear" w:color="auto" w:fill="E1DFDD"/>
    </w:rPr>
  </w:style>
  <w:style w:type="character" w:styleId="Strong">
    <w:name w:val="Strong"/>
    <w:basedOn w:val="DefaultParagraphFont"/>
    <w:uiPriority w:val="22"/>
    <w:qFormat/>
    <w:rsid w:val="00CE56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228246">
      <w:bodyDiv w:val="1"/>
      <w:marLeft w:val="0"/>
      <w:marRight w:val="0"/>
      <w:marTop w:val="0"/>
      <w:marBottom w:val="0"/>
      <w:divBdr>
        <w:top w:val="none" w:sz="0" w:space="0" w:color="auto"/>
        <w:left w:val="none" w:sz="0" w:space="0" w:color="auto"/>
        <w:bottom w:val="none" w:sz="0" w:space="0" w:color="auto"/>
        <w:right w:val="none" w:sz="0" w:space="0" w:color="auto"/>
      </w:divBdr>
      <w:divsChild>
        <w:div w:id="337777473">
          <w:marLeft w:val="0"/>
          <w:marRight w:val="0"/>
          <w:marTop w:val="0"/>
          <w:marBottom w:val="0"/>
          <w:divBdr>
            <w:top w:val="none" w:sz="0" w:space="0" w:color="auto"/>
            <w:left w:val="none" w:sz="0" w:space="0" w:color="auto"/>
            <w:bottom w:val="none" w:sz="0" w:space="0" w:color="auto"/>
            <w:right w:val="none" w:sz="0" w:space="0" w:color="auto"/>
          </w:divBdr>
        </w:div>
        <w:div w:id="626354332">
          <w:marLeft w:val="0"/>
          <w:marRight w:val="0"/>
          <w:marTop w:val="0"/>
          <w:marBottom w:val="0"/>
          <w:divBdr>
            <w:top w:val="none" w:sz="0" w:space="0" w:color="auto"/>
            <w:left w:val="none" w:sz="0" w:space="0" w:color="auto"/>
            <w:bottom w:val="none" w:sz="0" w:space="0" w:color="auto"/>
            <w:right w:val="none" w:sz="0" w:space="0" w:color="auto"/>
          </w:divBdr>
        </w:div>
        <w:div w:id="1536456738">
          <w:marLeft w:val="0"/>
          <w:marRight w:val="0"/>
          <w:marTop w:val="0"/>
          <w:marBottom w:val="0"/>
          <w:divBdr>
            <w:top w:val="none" w:sz="0" w:space="0" w:color="auto"/>
            <w:left w:val="none" w:sz="0" w:space="0" w:color="auto"/>
            <w:bottom w:val="none" w:sz="0" w:space="0" w:color="auto"/>
            <w:right w:val="none" w:sz="0" w:space="0" w:color="auto"/>
          </w:divBdr>
        </w:div>
        <w:div w:id="1751192475">
          <w:marLeft w:val="0"/>
          <w:marRight w:val="0"/>
          <w:marTop w:val="0"/>
          <w:marBottom w:val="0"/>
          <w:divBdr>
            <w:top w:val="none" w:sz="0" w:space="0" w:color="auto"/>
            <w:left w:val="none" w:sz="0" w:space="0" w:color="auto"/>
            <w:bottom w:val="none" w:sz="0" w:space="0" w:color="auto"/>
            <w:right w:val="none" w:sz="0" w:space="0" w:color="auto"/>
          </w:divBdr>
        </w:div>
        <w:div w:id="633606425">
          <w:marLeft w:val="0"/>
          <w:marRight w:val="0"/>
          <w:marTop w:val="0"/>
          <w:marBottom w:val="0"/>
          <w:divBdr>
            <w:top w:val="none" w:sz="0" w:space="0" w:color="auto"/>
            <w:left w:val="none" w:sz="0" w:space="0" w:color="auto"/>
            <w:bottom w:val="none" w:sz="0" w:space="0" w:color="auto"/>
            <w:right w:val="none" w:sz="0" w:space="0" w:color="auto"/>
          </w:divBdr>
        </w:div>
        <w:div w:id="1747258812">
          <w:marLeft w:val="0"/>
          <w:marRight w:val="0"/>
          <w:marTop w:val="0"/>
          <w:marBottom w:val="0"/>
          <w:divBdr>
            <w:top w:val="none" w:sz="0" w:space="0" w:color="auto"/>
            <w:left w:val="none" w:sz="0" w:space="0" w:color="auto"/>
            <w:bottom w:val="none" w:sz="0" w:space="0" w:color="auto"/>
            <w:right w:val="none" w:sz="0" w:space="0" w:color="auto"/>
          </w:divBdr>
        </w:div>
        <w:div w:id="176915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dfpr.com/forms/mc/COVID-19%20Guidance%20to%20Dispensaries.pdf" TargetMode="External"/><Relationship Id="rId5" Type="http://schemas.openxmlformats.org/officeDocument/2006/relationships/hyperlink" Target="https://www.isbe.net/Pages/covid19.aspx" TargetMode="External"/><Relationship Id="rId4" Type="http://schemas.openxmlformats.org/officeDocument/2006/relationships/hyperlink" Target="https://www2.illinois.gov/Pages/Executive-Orders/ExecutiveOrder2020-1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Hodas</dc:creator>
  <cp:keywords/>
  <dc:description/>
  <cp:lastModifiedBy>Evan Manning</cp:lastModifiedBy>
  <cp:revision>8</cp:revision>
  <dcterms:created xsi:type="dcterms:W3CDTF">2020-04-03T14:42:00Z</dcterms:created>
  <dcterms:modified xsi:type="dcterms:W3CDTF">2020-04-03T15:33:00Z</dcterms:modified>
</cp:coreProperties>
</file>