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3F007" w14:textId="35891985" w:rsidR="00980E0A" w:rsidRPr="00372E26" w:rsidRDefault="00980E0A">
      <w:pPr>
        <w:rPr>
          <w:rFonts w:cstheme="minorHAnsi"/>
          <w:b/>
          <w:bCs/>
          <w:sz w:val="28"/>
          <w:szCs w:val="28"/>
        </w:rPr>
      </w:pPr>
      <w:r w:rsidRPr="00372E26">
        <w:rPr>
          <w:rFonts w:cstheme="minorHAnsi"/>
          <w:b/>
          <w:bCs/>
          <w:sz w:val="28"/>
          <w:szCs w:val="28"/>
        </w:rPr>
        <w:t>GOVERNOR’S HIGHLIGHTS:</w:t>
      </w:r>
    </w:p>
    <w:p w14:paraId="2643043D" w14:textId="09D8C0A2" w:rsidR="00B021F8" w:rsidRPr="00B021F8" w:rsidRDefault="00B021F8">
      <w:pPr>
        <w:rPr>
          <w:rFonts w:cstheme="minorHAnsi"/>
        </w:rPr>
      </w:pPr>
      <w:r w:rsidRPr="00372E26">
        <w:rPr>
          <w:rFonts w:cstheme="minorHAnsi"/>
          <w:b/>
          <w:bCs/>
        </w:rPr>
        <w:t>COVID-19</w:t>
      </w:r>
      <w:r w:rsidRPr="00B021F8">
        <w:rPr>
          <w:rFonts w:cstheme="minorHAnsi"/>
        </w:rPr>
        <w:t xml:space="preserve">: </w:t>
      </w:r>
      <w:r w:rsidR="00E931E6">
        <w:rPr>
          <w:rFonts w:cstheme="minorHAnsi"/>
        </w:rPr>
        <w:t>On Thursday, t</w:t>
      </w:r>
      <w:r w:rsidR="00AE4EB7">
        <w:t>he Illinois Department of Public Health announced 593 new confirmed cases of COVID-19 in Illinois, including 55 additional deaths. T</w:t>
      </w:r>
      <w:r w:rsidR="00E931E6">
        <w:t>o date, t</w:t>
      </w:r>
      <w:r w:rsidR="00AE4EB7">
        <w:t xml:space="preserve">he Department is reporting a total of 134,778 cases, including 6,537 deaths, in 101 counties in Illinois. Within the past 24 hours, laboratories have reported 25,504 </w:t>
      </w:r>
      <w:r w:rsidR="00E931E6">
        <w:t>tests</w:t>
      </w:r>
      <w:r w:rsidR="00AE4EB7">
        <w:t xml:space="preserve">. The preliminary seven-day statewide positivity </w:t>
      </w:r>
      <w:r w:rsidR="00E931E6">
        <w:t xml:space="preserve">rate </w:t>
      </w:r>
      <w:r w:rsidR="00AE4EB7">
        <w:t>from June 11–June 17 is 3%.</w:t>
      </w:r>
    </w:p>
    <w:p w14:paraId="071196CA" w14:textId="22096A66" w:rsidR="00095CFA" w:rsidRPr="00B021F8" w:rsidRDefault="00004BE7">
      <w:pPr>
        <w:rPr>
          <w:rFonts w:cstheme="minorHAnsi"/>
        </w:rPr>
      </w:pPr>
      <w:r w:rsidRPr="00B021F8">
        <w:rPr>
          <w:rFonts w:cstheme="minorHAnsi"/>
        </w:rPr>
        <w:t xml:space="preserve">The Illinois </w:t>
      </w:r>
      <w:r w:rsidR="00980E0A" w:rsidRPr="00B021F8">
        <w:rPr>
          <w:rFonts w:cstheme="minorHAnsi"/>
        </w:rPr>
        <w:t>Republican party</w:t>
      </w:r>
      <w:r w:rsidRPr="00B021F8">
        <w:rPr>
          <w:rFonts w:cstheme="minorHAnsi"/>
        </w:rPr>
        <w:t xml:space="preserve"> filed a federal lawsuit against Governor Pritzker </w:t>
      </w:r>
      <w:r w:rsidR="00980E0A" w:rsidRPr="00B021F8">
        <w:rPr>
          <w:rFonts w:cstheme="minorHAnsi"/>
        </w:rPr>
        <w:t>alleging</w:t>
      </w:r>
      <w:r w:rsidRPr="00B021F8">
        <w:rPr>
          <w:rFonts w:cstheme="minorHAnsi"/>
        </w:rPr>
        <w:t xml:space="preserve"> </w:t>
      </w:r>
      <w:r w:rsidR="00980E0A" w:rsidRPr="00B021F8">
        <w:rPr>
          <w:rFonts w:cstheme="minorHAnsi"/>
        </w:rPr>
        <w:t xml:space="preserve">the Governor’s executive </w:t>
      </w:r>
      <w:r w:rsidR="004307BF">
        <w:rPr>
          <w:rFonts w:cstheme="minorHAnsi"/>
        </w:rPr>
        <w:t>orders which limit</w:t>
      </w:r>
      <w:r w:rsidR="00980E0A" w:rsidRPr="00B021F8">
        <w:rPr>
          <w:rFonts w:cstheme="minorHAnsi"/>
        </w:rPr>
        <w:t xml:space="preserve"> gatherings over 10 people violate the</w:t>
      </w:r>
      <w:r w:rsidRPr="00B021F8">
        <w:rPr>
          <w:rFonts w:cstheme="minorHAnsi"/>
        </w:rPr>
        <w:t xml:space="preserve"> First Amendment. </w:t>
      </w:r>
      <w:r w:rsidR="00980E0A" w:rsidRPr="00B021F8">
        <w:rPr>
          <w:rFonts w:cstheme="minorHAnsi"/>
        </w:rPr>
        <w:t xml:space="preserve">A copy of the lawsuit is </w:t>
      </w:r>
      <w:hyperlink r:id="rId4" w:history="1">
        <w:r w:rsidR="00980E0A" w:rsidRPr="00B021F8">
          <w:rPr>
            <w:rStyle w:val="Hyperlink"/>
            <w:rFonts w:cstheme="minorHAnsi"/>
          </w:rPr>
          <w:t>here</w:t>
        </w:r>
      </w:hyperlink>
      <w:r w:rsidR="00980E0A" w:rsidRPr="00B021F8">
        <w:rPr>
          <w:rFonts w:cstheme="minorHAnsi"/>
        </w:rPr>
        <w:t>.</w:t>
      </w:r>
    </w:p>
    <w:p w14:paraId="11202803" w14:textId="2CF9D06C" w:rsidR="00B021F8" w:rsidRPr="00B021F8" w:rsidRDefault="00B021F8" w:rsidP="00B021F8">
      <w:pPr>
        <w:spacing w:before="140" w:after="140" w:line="240" w:lineRule="auto"/>
        <w:rPr>
          <w:rFonts w:eastAsia="Times New Roman" w:cstheme="minorHAnsi"/>
        </w:rPr>
      </w:pPr>
      <w:r w:rsidRPr="00B021F8">
        <w:rPr>
          <w:rFonts w:cstheme="minorHAnsi"/>
          <w:b/>
          <w:bCs/>
        </w:rPr>
        <w:t>Bill Signings:</w:t>
      </w:r>
      <w:r w:rsidRPr="00B021F8">
        <w:rPr>
          <w:rFonts w:cstheme="minorHAnsi"/>
        </w:rPr>
        <w:t xml:space="preserve"> </w:t>
      </w:r>
      <w:r w:rsidR="00D874B4">
        <w:rPr>
          <w:rFonts w:cstheme="minorHAnsi"/>
        </w:rPr>
        <w:t xml:space="preserve"> Governor Pritzker signed two election bills this week.  </w:t>
      </w:r>
      <w:r w:rsidRPr="00B021F8">
        <w:rPr>
          <w:rFonts w:eastAsia="Times New Roman" w:cstheme="minorHAnsi"/>
          <w:color w:val="000000"/>
        </w:rPr>
        <w:t xml:space="preserve"> </w:t>
      </w:r>
      <w:hyperlink r:id="rId5" w:history="1">
        <w:r w:rsidRPr="00B021F8">
          <w:rPr>
            <w:rFonts w:eastAsia="Times New Roman" w:cstheme="minorHAnsi"/>
            <w:color w:val="1155CC"/>
            <w:u w:val="single"/>
          </w:rPr>
          <w:t>SB1863</w:t>
        </w:r>
      </w:hyperlink>
      <w:r w:rsidRPr="00B021F8">
        <w:rPr>
          <w:rFonts w:eastAsia="Times New Roman" w:cstheme="minorHAnsi"/>
          <w:color w:val="000000"/>
        </w:rPr>
        <w:t xml:space="preserve"> </w:t>
      </w:r>
      <w:r w:rsidRPr="004307BF">
        <w:rPr>
          <w:rFonts w:eastAsia="Times New Roman" w:cstheme="minorHAnsi"/>
          <w:color w:val="000000"/>
        </w:rPr>
        <w:t>(Morrison/Burke</w:t>
      </w:r>
      <w:r w:rsidRPr="00B021F8">
        <w:rPr>
          <w:rFonts w:eastAsia="Times New Roman" w:cstheme="minorHAnsi"/>
          <w:b/>
          <w:bCs/>
          <w:color w:val="000000"/>
        </w:rPr>
        <w:t>)</w:t>
      </w:r>
      <w:r w:rsidRPr="00B021F8">
        <w:rPr>
          <w:rFonts w:eastAsia="Times New Roman" w:cstheme="minorHAnsi"/>
          <w:color w:val="000000"/>
        </w:rPr>
        <w:t xml:space="preserve"> is an omnibus election bill that expands vote by mail for the 2020 General Election due to the COVID pandemic. The sponsor indicated the legislation tries to balance public health while allowing for robust voter participation.  SB 1863 creates the Conduct of the 2020 General Election Article in the Code. For the 2020 general election, provides for changes to vote by mail, first time registrants and changes of address for registrants, the public dissemination of information for the 2020 general election, early voting and election day requirements, judges of election, electronic service of objections, additional duties of election authorities and the State Board of Elections. Establishes November 3, 2020 as a State holiday for schools and certain university employees so that they may be used as polling places.  Provides that all government offices (with the exception of election authorities) shall be closed unless authorized to be used as a location for election day services or as a polling place. Provides the State Board of Elections with emergency rulemaking authority. Repeals the Article on January 1, 2021.</w:t>
      </w:r>
    </w:p>
    <w:p w14:paraId="24A180C0" w14:textId="5F53EE9A" w:rsidR="00004BE7" w:rsidRDefault="0079660C" w:rsidP="00B021F8">
      <w:pPr>
        <w:spacing w:before="140" w:after="140" w:line="240" w:lineRule="auto"/>
        <w:rPr>
          <w:rFonts w:eastAsia="Times New Roman" w:cstheme="minorHAnsi"/>
          <w:color w:val="000000"/>
        </w:rPr>
      </w:pPr>
      <w:hyperlink r:id="rId6" w:history="1">
        <w:r w:rsidR="00B021F8" w:rsidRPr="00B021F8">
          <w:rPr>
            <w:rStyle w:val="Hyperlink"/>
            <w:rFonts w:eastAsia="Times New Roman" w:cstheme="minorHAnsi"/>
          </w:rPr>
          <w:t>HB2238</w:t>
        </w:r>
      </w:hyperlink>
      <w:r w:rsidR="00B021F8" w:rsidRPr="00B021F8">
        <w:rPr>
          <w:rFonts w:eastAsia="Times New Roman" w:cstheme="minorHAnsi"/>
          <w:color w:val="000000"/>
        </w:rPr>
        <w:t xml:space="preserve">  </w:t>
      </w:r>
      <w:r w:rsidR="00B021F8" w:rsidRPr="004307BF">
        <w:rPr>
          <w:rFonts w:eastAsia="Times New Roman" w:cstheme="minorHAnsi"/>
          <w:color w:val="000000"/>
        </w:rPr>
        <w:t xml:space="preserve">(Burke/Martinez) </w:t>
      </w:r>
      <w:r w:rsidR="00B021F8" w:rsidRPr="00B021F8">
        <w:rPr>
          <w:rFonts w:eastAsia="Times New Roman" w:cstheme="minorHAnsi"/>
          <w:color w:val="000000"/>
        </w:rPr>
        <w:t xml:space="preserve">is a trailer bill to SB 1863 and makes various changes to how many election judges are needed to determine the validity of certain mail in ballots and adds a provision that lock boxes for drop off ballots must be secured with a lock.  </w:t>
      </w:r>
    </w:p>
    <w:p w14:paraId="31F581D5" w14:textId="646E69B5" w:rsidR="003824EA" w:rsidRPr="00B021F8" w:rsidRDefault="003824EA" w:rsidP="00B021F8">
      <w:pPr>
        <w:spacing w:before="140" w:after="140" w:line="240" w:lineRule="auto"/>
        <w:rPr>
          <w:rFonts w:eastAsia="Times New Roman" w:cstheme="minorHAnsi"/>
        </w:rPr>
      </w:pPr>
      <w:r>
        <w:rPr>
          <w:rFonts w:eastAsia="Times New Roman" w:cstheme="minorHAnsi"/>
          <w:color w:val="000000"/>
        </w:rPr>
        <w:t xml:space="preserve">The Governor also signed </w:t>
      </w:r>
      <w:hyperlink r:id="rId7" w:history="1">
        <w:r w:rsidRPr="002A2A96">
          <w:rPr>
            <w:rFonts w:eastAsia="Times New Roman" w:cstheme="minorHAnsi"/>
            <w:color w:val="1155CC"/>
            <w:u w:val="single"/>
          </w:rPr>
          <w:t>SB1569</w:t>
        </w:r>
      </w:hyperlink>
      <w:r w:rsidRPr="002A2A96">
        <w:rPr>
          <w:rFonts w:eastAsia="Times New Roman" w:cstheme="minorHAnsi"/>
          <w:color w:val="000000"/>
        </w:rPr>
        <w:t xml:space="preserve"> </w:t>
      </w:r>
      <w:r w:rsidRPr="004307BF">
        <w:rPr>
          <w:rFonts w:eastAsia="Times New Roman" w:cstheme="minorHAnsi"/>
          <w:color w:val="000000"/>
        </w:rPr>
        <w:t xml:space="preserve">(Rezin/Davis) </w:t>
      </w:r>
      <w:r>
        <w:rPr>
          <w:rFonts w:eastAsia="Times New Roman" w:cstheme="minorHAnsi"/>
          <w:color w:val="000000"/>
        </w:rPr>
        <w:t xml:space="preserve">which </w:t>
      </w:r>
      <w:r w:rsidRPr="002A2A96">
        <w:rPr>
          <w:rFonts w:eastAsia="Times New Roman" w:cstheme="minorHAnsi"/>
          <w:color w:val="000000"/>
        </w:rPr>
        <w:t>makes K-12 and higher education related changes in response the pandemic.  This bill addresses remote learning days, student teacher requirements, graduation requirements and other education related items.  At the higher education level, the bill addresses AIM High and articulation with respect to pass/fail classes. In essence, the bill codifies many of the education emergency rules put into effect in response to the pandemic. </w:t>
      </w:r>
    </w:p>
    <w:p w14:paraId="06B40DCF" w14:textId="1D172585" w:rsidR="00B021F8" w:rsidRPr="00B021F8" w:rsidRDefault="00B021F8" w:rsidP="00B021F8">
      <w:pPr>
        <w:spacing w:before="100" w:beforeAutospacing="1" w:after="100" w:afterAutospacing="1" w:line="240" w:lineRule="auto"/>
        <w:rPr>
          <w:rFonts w:eastAsia="Times New Roman" w:cstheme="minorHAnsi"/>
        </w:rPr>
      </w:pPr>
      <w:r>
        <w:rPr>
          <w:rFonts w:eastAsia="Times New Roman" w:cstheme="minorHAnsi"/>
          <w:b/>
          <w:bCs/>
        </w:rPr>
        <w:t xml:space="preserve">State Fair:  </w:t>
      </w:r>
      <w:r>
        <w:rPr>
          <w:rFonts w:eastAsia="Times New Roman" w:cstheme="minorHAnsi"/>
        </w:rPr>
        <w:t xml:space="preserve">Governor Pritzker officially canceled the Illinois State Fair and the </w:t>
      </w:r>
      <w:proofErr w:type="spellStart"/>
      <w:r>
        <w:rPr>
          <w:rFonts w:eastAsia="Times New Roman" w:cstheme="minorHAnsi"/>
        </w:rPr>
        <w:t>DuQuoin</w:t>
      </w:r>
      <w:proofErr w:type="spellEnd"/>
      <w:r>
        <w:rPr>
          <w:rFonts w:eastAsia="Times New Roman" w:cstheme="minorHAnsi"/>
        </w:rPr>
        <w:t xml:space="preserve"> State Fair</w:t>
      </w:r>
      <w:r w:rsidR="004307BF">
        <w:rPr>
          <w:rFonts w:eastAsia="Times New Roman" w:cstheme="minorHAnsi"/>
        </w:rPr>
        <w:t xml:space="preserve"> for 2020. </w:t>
      </w:r>
      <w:r>
        <w:rPr>
          <w:rFonts w:eastAsia="Times New Roman" w:cstheme="minorHAnsi"/>
        </w:rPr>
        <w:t xml:space="preserve">  </w:t>
      </w:r>
    </w:p>
    <w:p w14:paraId="653E4A1B" w14:textId="3E795ADB" w:rsidR="001F4649" w:rsidRPr="00B021F8" w:rsidRDefault="00B021F8" w:rsidP="001F4649">
      <w:pPr>
        <w:spacing w:before="100" w:beforeAutospacing="1" w:after="100" w:afterAutospacing="1" w:line="240" w:lineRule="auto"/>
        <w:rPr>
          <w:rFonts w:cstheme="minorHAnsi"/>
        </w:rPr>
      </w:pPr>
      <w:r w:rsidRPr="00B021F8">
        <w:rPr>
          <w:rFonts w:eastAsia="Times New Roman" w:cstheme="minorHAnsi"/>
          <w:b/>
          <w:bCs/>
        </w:rPr>
        <w:t>Grants:</w:t>
      </w:r>
      <w:r>
        <w:rPr>
          <w:rFonts w:eastAsia="Times New Roman" w:cstheme="minorHAnsi"/>
        </w:rPr>
        <w:t xml:space="preserve">  </w:t>
      </w:r>
      <w:r w:rsidRPr="00B021F8">
        <w:rPr>
          <w:rFonts w:eastAsia="Times New Roman" w:cstheme="minorHAnsi"/>
        </w:rPr>
        <w:t>Governor Pritzker</w:t>
      </w:r>
      <w:r w:rsidR="00F652DE" w:rsidRPr="00F652DE">
        <w:rPr>
          <w:rFonts w:eastAsia="Times New Roman" w:cstheme="minorHAnsi"/>
        </w:rPr>
        <w:t xml:space="preserve"> announce</w:t>
      </w:r>
      <w:r w:rsidRPr="00B021F8">
        <w:rPr>
          <w:rFonts w:eastAsia="Times New Roman" w:cstheme="minorHAnsi"/>
        </w:rPr>
        <w:t>d</w:t>
      </w:r>
      <w:r w:rsidR="00F652DE" w:rsidRPr="00F652DE">
        <w:rPr>
          <w:rFonts w:eastAsia="Times New Roman" w:cstheme="minorHAnsi"/>
        </w:rPr>
        <w:t xml:space="preserve"> a package of state grant programs to support communities and businesses impacted by the pandemic and recent civil unrest. </w:t>
      </w:r>
      <w:r>
        <w:rPr>
          <w:rFonts w:eastAsia="Times New Roman" w:cstheme="minorHAnsi"/>
        </w:rPr>
        <w:t xml:space="preserve"> </w:t>
      </w:r>
      <w:r w:rsidR="00F652DE" w:rsidRPr="00F652DE">
        <w:rPr>
          <w:rFonts w:eastAsia="Times New Roman" w:cstheme="minorHAnsi"/>
        </w:rPr>
        <w:t>The package includes more than $900 million across more than ten programs and four state agencies to help working families and small businesses who have been hit the hardest by COVID-19's economic impacts, which was compounded by recent property damage and civil unrest.</w:t>
      </w:r>
      <w:r>
        <w:rPr>
          <w:rFonts w:eastAsia="Times New Roman" w:cstheme="minorHAnsi"/>
        </w:rPr>
        <w:t xml:space="preserve">  Grants are available for emergency rental assistance, emergency mortgage assistance, business interruption, a distressed capital program and poverty alleviation strategies.  More information about the grants is </w:t>
      </w:r>
      <w:hyperlink r:id="rId8" w:history="1">
        <w:r w:rsidRPr="008062FF">
          <w:rPr>
            <w:rStyle w:val="Hyperlink"/>
            <w:rFonts w:eastAsia="Times New Roman" w:cstheme="minorHAnsi"/>
          </w:rPr>
          <w:t>h</w:t>
        </w:r>
        <w:r>
          <w:rPr>
            <w:rStyle w:val="Hyperlink"/>
            <w:rFonts w:eastAsia="Times New Roman" w:cstheme="minorHAnsi"/>
          </w:rPr>
          <w:t>ere.</w:t>
        </w:r>
      </w:hyperlink>
      <w:r>
        <w:rPr>
          <w:rFonts w:eastAsia="Times New Roman" w:cstheme="minorHAnsi"/>
        </w:rPr>
        <w:t xml:space="preserve"> </w:t>
      </w:r>
      <w:r w:rsidR="00F652DE" w:rsidRPr="00F652DE">
        <w:rPr>
          <w:rFonts w:eastAsia="Times New Roman" w:cstheme="minorHAnsi"/>
        </w:rPr>
        <w:br/>
        <w:t> </w:t>
      </w:r>
      <w:r w:rsidR="00F652DE" w:rsidRPr="00F652DE">
        <w:rPr>
          <w:rFonts w:eastAsia="Times New Roman" w:cstheme="minorHAnsi"/>
        </w:rPr>
        <w:br/>
      </w:r>
    </w:p>
    <w:p w14:paraId="21D721A7" w14:textId="6B471F70" w:rsidR="00B021F8" w:rsidRPr="00B021F8" w:rsidRDefault="00B021F8">
      <w:pPr>
        <w:rPr>
          <w:rFonts w:cstheme="minorHAnsi"/>
        </w:rPr>
      </w:pPr>
    </w:p>
    <w:sectPr w:rsidR="00B021F8" w:rsidRPr="00B02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E7"/>
    <w:rsid w:val="00004BE7"/>
    <w:rsid w:val="00095CFA"/>
    <w:rsid w:val="001F05EF"/>
    <w:rsid w:val="001F4649"/>
    <w:rsid w:val="00372E26"/>
    <w:rsid w:val="003824EA"/>
    <w:rsid w:val="003B2419"/>
    <w:rsid w:val="004307BF"/>
    <w:rsid w:val="0079660C"/>
    <w:rsid w:val="00976F72"/>
    <w:rsid w:val="00980E0A"/>
    <w:rsid w:val="00AE4EB7"/>
    <w:rsid w:val="00B021F8"/>
    <w:rsid w:val="00D874B4"/>
    <w:rsid w:val="00E931E6"/>
    <w:rsid w:val="00EC61FC"/>
    <w:rsid w:val="00F6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316C"/>
  <w15:chartTrackingRefBased/>
  <w15:docId w15:val="{92BF6D0A-5E2C-4D8D-93E7-E28E91DB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1FC"/>
    <w:rPr>
      <w:color w:val="0000FF"/>
      <w:u w:val="single"/>
    </w:rPr>
  </w:style>
  <w:style w:type="paragraph" w:styleId="NormalWeb">
    <w:name w:val="Normal (Web)"/>
    <w:basedOn w:val="Normal"/>
    <w:uiPriority w:val="99"/>
    <w:semiHidden/>
    <w:unhideWhenUsed/>
    <w:rsid w:val="00EC61F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EC61FC"/>
    <w:rPr>
      <w:b/>
      <w:bCs/>
    </w:rPr>
  </w:style>
  <w:style w:type="character" w:styleId="UnresolvedMention">
    <w:name w:val="Unresolved Mention"/>
    <w:basedOn w:val="DefaultParagraphFont"/>
    <w:uiPriority w:val="99"/>
    <w:semiHidden/>
    <w:unhideWhenUsed/>
    <w:rsid w:val="00980E0A"/>
    <w:rPr>
      <w:color w:val="605E5C"/>
      <w:shd w:val="clear" w:color="auto" w:fill="E1DFDD"/>
    </w:rPr>
  </w:style>
  <w:style w:type="character" w:customStyle="1" w:styleId="content">
    <w:name w:val="content"/>
    <w:basedOn w:val="DefaultParagraphFont"/>
    <w:rsid w:val="00B0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99817">
      <w:bodyDiv w:val="1"/>
      <w:marLeft w:val="0"/>
      <w:marRight w:val="0"/>
      <w:marTop w:val="0"/>
      <w:marBottom w:val="0"/>
      <w:divBdr>
        <w:top w:val="none" w:sz="0" w:space="0" w:color="auto"/>
        <w:left w:val="none" w:sz="0" w:space="0" w:color="auto"/>
        <w:bottom w:val="none" w:sz="0" w:space="0" w:color="auto"/>
        <w:right w:val="none" w:sz="0" w:space="0" w:color="auto"/>
      </w:divBdr>
    </w:div>
    <w:div w:id="2022857803">
      <w:bodyDiv w:val="1"/>
      <w:marLeft w:val="0"/>
      <w:marRight w:val="0"/>
      <w:marTop w:val="0"/>
      <w:marBottom w:val="0"/>
      <w:divBdr>
        <w:top w:val="none" w:sz="0" w:space="0" w:color="auto"/>
        <w:left w:val="none" w:sz="0" w:space="0" w:color="auto"/>
        <w:bottom w:val="none" w:sz="0" w:space="0" w:color="auto"/>
        <w:right w:val="none" w:sz="0" w:space="0" w:color="auto"/>
      </w:divBdr>
      <w:divsChild>
        <w:div w:id="1022897722">
          <w:marLeft w:val="0"/>
          <w:marRight w:val="0"/>
          <w:marTop w:val="0"/>
          <w:marBottom w:val="0"/>
          <w:divBdr>
            <w:top w:val="none" w:sz="0" w:space="0" w:color="auto"/>
            <w:left w:val="none" w:sz="0" w:space="0" w:color="auto"/>
            <w:bottom w:val="none" w:sz="0" w:space="0" w:color="auto"/>
            <w:right w:val="none" w:sz="0" w:space="0" w:color="auto"/>
          </w:divBdr>
        </w:div>
      </w:divsChild>
    </w:div>
    <w:div w:id="2042589385">
      <w:bodyDiv w:val="1"/>
      <w:marLeft w:val="0"/>
      <w:marRight w:val="0"/>
      <w:marTop w:val="0"/>
      <w:marBottom w:val="0"/>
      <w:divBdr>
        <w:top w:val="none" w:sz="0" w:space="0" w:color="auto"/>
        <w:left w:val="none" w:sz="0" w:space="0" w:color="auto"/>
        <w:bottom w:val="none" w:sz="0" w:space="0" w:color="auto"/>
        <w:right w:val="none" w:sz="0" w:space="0" w:color="auto"/>
      </w:divBdr>
      <w:divsChild>
        <w:div w:id="516581996">
          <w:marLeft w:val="0"/>
          <w:marRight w:val="0"/>
          <w:marTop w:val="0"/>
          <w:marBottom w:val="0"/>
          <w:divBdr>
            <w:top w:val="none" w:sz="0" w:space="0" w:color="auto"/>
            <w:left w:val="none" w:sz="0" w:space="0" w:color="auto"/>
            <w:bottom w:val="none" w:sz="0" w:space="0" w:color="auto"/>
            <w:right w:val="none" w:sz="0" w:space="0" w:color="auto"/>
          </w:divBdr>
        </w:div>
        <w:div w:id="1803421878">
          <w:marLeft w:val="600"/>
          <w:marRight w:val="0"/>
          <w:marTop w:val="0"/>
          <w:marBottom w:val="0"/>
          <w:divBdr>
            <w:top w:val="none" w:sz="0" w:space="0" w:color="auto"/>
            <w:left w:val="none" w:sz="0" w:space="0" w:color="auto"/>
            <w:bottom w:val="none" w:sz="0" w:space="0" w:color="auto"/>
            <w:right w:val="none" w:sz="0" w:space="0" w:color="auto"/>
          </w:divBdr>
        </w:div>
        <w:div w:id="106136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Pages/news-item.aspx?ReleaseID=21697" TargetMode="External"/><Relationship Id="rId3" Type="http://schemas.openxmlformats.org/officeDocument/2006/relationships/webSettings" Target="webSettings.xml"/><Relationship Id="rId7" Type="http://schemas.openxmlformats.org/officeDocument/2006/relationships/hyperlink" Target="http://ilga.gov/legislation/billstatus.asp?DocNum=1569&amp;GAID=15&amp;GA=101&amp;DocTypeID=SB&amp;LegID=118568&amp;SessionID=109&amp;SpecSes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lga.gov/legislation/billstatus.asp?DocNum=2238&amp;GAID=15&amp;GA=101&amp;DocTypeID=HB&amp;LegID=118021&amp;SessionID=109&amp;SpecSess=1" TargetMode="External"/><Relationship Id="rId5" Type="http://schemas.openxmlformats.org/officeDocument/2006/relationships/hyperlink" Target="http://ilga.gov/legislation/billstatus.asp?DocNum=1863&amp;GAID=15&amp;GA=101&amp;DocTypeID=SB&amp;LegID=119533&amp;SessionID=109&amp;SpecSess=1" TargetMode="External"/><Relationship Id="rId10" Type="http://schemas.openxmlformats.org/officeDocument/2006/relationships/theme" Target="theme/theme1.xml"/><Relationship Id="rId4" Type="http://schemas.openxmlformats.org/officeDocument/2006/relationships/hyperlink" Target="https://ljc-assets.s3.amazonaws.com/2020/06/1-IRP-v-Pritzker-Complaint.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2020-06-22T20:12:00Z</dcterms:created>
  <dcterms:modified xsi:type="dcterms:W3CDTF">2020-06-22T20:12:00Z</dcterms:modified>
</cp:coreProperties>
</file>