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7FED5B" w14:textId="77777777" w:rsidR="00BE3E74" w:rsidRPr="00BE3E74" w:rsidRDefault="00BE3E74" w:rsidP="00BE3E74">
      <w:pPr>
        <w:spacing w:after="0" w:line="240" w:lineRule="auto"/>
        <w:rPr>
          <w:rFonts w:eastAsia="Times New Roman" w:cstheme="minorHAnsi"/>
          <w:sz w:val="24"/>
          <w:szCs w:val="24"/>
        </w:rPr>
      </w:pPr>
      <w:r w:rsidRPr="00BE3E74">
        <w:rPr>
          <w:rFonts w:eastAsia="Times New Roman" w:cstheme="minorHAnsi"/>
          <w:b/>
          <w:bCs/>
          <w:color w:val="000000"/>
          <w:sz w:val="28"/>
          <w:szCs w:val="28"/>
        </w:rPr>
        <w:t>GOVERNOR’S HIGHLIGHTS: </w:t>
      </w:r>
    </w:p>
    <w:p w14:paraId="13C17B3A" w14:textId="77777777" w:rsidR="00BE3E74" w:rsidRPr="00BE3E74" w:rsidRDefault="00BE3E74" w:rsidP="00BE3E74">
      <w:pPr>
        <w:spacing w:after="0" w:line="240" w:lineRule="auto"/>
        <w:rPr>
          <w:rFonts w:eastAsia="Times New Roman" w:cstheme="minorHAnsi"/>
          <w:sz w:val="24"/>
          <w:szCs w:val="24"/>
        </w:rPr>
      </w:pPr>
    </w:p>
    <w:p w14:paraId="00A11845" w14:textId="3B075A2A" w:rsidR="00BE3E74" w:rsidRPr="00BE3E74" w:rsidRDefault="00BE3E74" w:rsidP="00BE3E74">
      <w:pPr>
        <w:spacing w:after="0" w:line="240" w:lineRule="auto"/>
        <w:rPr>
          <w:rFonts w:eastAsia="Times New Roman" w:cstheme="minorHAnsi"/>
          <w:sz w:val="24"/>
          <w:szCs w:val="24"/>
        </w:rPr>
      </w:pPr>
      <w:r w:rsidRPr="00BE3E74">
        <w:rPr>
          <w:rFonts w:eastAsia="Times New Roman" w:cstheme="minorHAnsi"/>
          <w:b/>
          <w:bCs/>
          <w:color w:val="000000"/>
        </w:rPr>
        <w:t>Budget Preview:</w:t>
      </w:r>
      <w:r w:rsidRPr="00BE3E74">
        <w:rPr>
          <w:rFonts w:eastAsia="Times New Roman" w:cstheme="minorHAnsi"/>
          <w:color w:val="000000"/>
        </w:rPr>
        <w:t xml:space="preserve">  Governor Pritzker will virtually present his third budget to the Illinois General Assembly on Wednesday, February 17th.  The FY 2022 budget is expected to remain flat and present legislators with painful choices following the failure of the proposed graduated income tax plan and damage from the pandemic. Pritzker said he is not proposing an income tax increase, but instead wants to raise $900 million by closing unspecified “corporate tax loopholes” and redirect revenue, including the cigarette tax, into the General Revenue Fund. While additional federal funds will be directed to education, the state is expected to maintain its existing support for schools.  This would make the second budget year in a row that the state not increased K - 12 spending.   A $3 billion budget shortfall is projected for FY 2022, but the Governor claims his budget will close this gap.  The Governor noted that the original deficit was closer to $5.5 billion before the state paid off $700 million in federal borrowing and a better-than-expected performance in the economy. </w:t>
      </w:r>
      <w:r w:rsidRPr="00BE3E74">
        <w:rPr>
          <w:rFonts w:eastAsia="Times New Roman" w:cstheme="minorHAnsi"/>
          <w:color w:val="000000"/>
          <w:sz w:val="24"/>
          <w:szCs w:val="24"/>
        </w:rPr>
        <w:t> </w:t>
      </w:r>
    </w:p>
    <w:p w14:paraId="3F2CCB62" w14:textId="364EFE89" w:rsidR="00BE3E74" w:rsidRDefault="00BE3E74" w:rsidP="00BE3E74">
      <w:pPr>
        <w:spacing w:after="0" w:line="240" w:lineRule="auto"/>
        <w:rPr>
          <w:rFonts w:eastAsia="Times New Roman" w:cstheme="minorHAnsi"/>
          <w:sz w:val="24"/>
          <w:szCs w:val="24"/>
        </w:rPr>
      </w:pPr>
    </w:p>
    <w:p w14:paraId="0547BB92" w14:textId="77777777" w:rsidR="003B3EC8" w:rsidRPr="00CA268C" w:rsidRDefault="003B3EC8" w:rsidP="003B3EC8">
      <w:pPr>
        <w:shd w:val="clear" w:color="auto" w:fill="FFFFFF"/>
        <w:spacing w:after="150" w:line="240" w:lineRule="auto"/>
        <w:rPr>
          <w:rFonts w:eastAsia="Times New Roman" w:cstheme="minorHAnsi"/>
        </w:rPr>
      </w:pPr>
      <w:r w:rsidRPr="003B3EC8">
        <w:rPr>
          <w:rFonts w:eastAsia="Times New Roman" w:cstheme="minorHAnsi"/>
          <w:b/>
          <w:bCs/>
        </w:rPr>
        <w:t>ACA Marketplace Reopening for Illinoisans:</w:t>
      </w:r>
      <w:r>
        <w:rPr>
          <w:rFonts w:eastAsia="Times New Roman" w:cstheme="minorHAnsi"/>
          <w:b/>
          <w:bCs/>
        </w:rPr>
        <w:t xml:space="preserve"> </w:t>
      </w:r>
      <w:r w:rsidRPr="00CA268C">
        <w:rPr>
          <w:rFonts w:eastAsia="Times New Roman" w:cstheme="minorHAnsi"/>
        </w:rPr>
        <w:t>Governor JB Pritzker is encouraging eligible Illinoisans who do not have health insurance to enroll in an ACA Health Insurance Marketplace plan beginning February 15th.  An executive order signed by President Biden allows states, including Illinois, which utilize the federal marketplace to reopen this month to help more people purchase health insurance coverage. The </w:t>
      </w:r>
      <w:r w:rsidRPr="00CA268C">
        <w:rPr>
          <w:rFonts w:eastAsia="Times New Roman" w:cstheme="minorHAnsi"/>
          <w:b/>
          <w:bCs/>
        </w:rPr>
        <w:t>2021 Special Enrollment Period (SEP) in Response to the COVID-19 Pandemic</w:t>
      </w:r>
      <w:r w:rsidRPr="00CA268C">
        <w:rPr>
          <w:rFonts w:eastAsia="Times New Roman" w:cstheme="minorHAnsi"/>
        </w:rPr>
        <w:t> runs through May 15, 2021.</w:t>
      </w:r>
    </w:p>
    <w:p w14:paraId="348350E9" w14:textId="77777777" w:rsidR="00BE3E74" w:rsidRPr="00BE3E74" w:rsidRDefault="00BE3E74" w:rsidP="00BE3E74">
      <w:pPr>
        <w:spacing w:after="0" w:line="240" w:lineRule="auto"/>
        <w:rPr>
          <w:rFonts w:eastAsia="Times New Roman" w:cstheme="minorHAnsi"/>
          <w:sz w:val="24"/>
          <w:szCs w:val="24"/>
        </w:rPr>
      </w:pPr>
      <w:r w:rsidRPr="00BE3E74">
        <w:rPr>
          <w:rFonts w:eastAsia="Times New Roman" w:cstheme="minorHAnsi"/>
          <w:b/>
          <w:bCs/>
          <w:color w:val="000000"/>
        </w:rPr>
        <w:t xml:space="preserve">COVID-19 Update: </w:t>
      </w:r>
      <w:r w:rsidRPr="00BE3E74">
        <w:rPr>
          <w:rFonts w:eastAsia="Times New Roman" w:cstheme="minorHAnsi"/>
          <w:color w:val="000000"/>
        </w:rPr>
        <w:t> Illinois’ COVID positivity rate is the lowest it has been since July of 2020.  The seven-day statewide case positivity is 3.3%. The seven-day statewide test positivity rate is 3.9%.</w:t>
      </w:r>
    </w:p>
    <w:p w14:paraId="2CC3C593" w14:textId="77777777" w:rsidR="00BE3E74" w:rsidRPr="00BE3E74" w:rsidRDefault="00BE3E74" w:rsidP="00BE3E74">
      <w:pPr>
        <w:spacing w:after="0" w:line="240" w:lineRule="auto"/>
        <w:rPr>
          <w:rFonts w:eastAsia="Times New Roman" w:cstheme="minorHAnsi"/>
          <w:sz w:val="24"/>
          <w:szCs w:val="24"/>
        </w:rPr>
      </w:pPr>
    </w:p>
    <w:p w14:paraId="6D7F6474" w14:textId="77777777" w:rsidR="00BE3E74" w:rsidRPr="00BE3E74" w:rsidRDefault="00BE3E74" w:rsidP="00BE3E74">
      <w:pPr>
        <w:spacing w:after="0" w:line="240" w:lineRule="auto"/>
        <w:rPr>
          <w:rFonts w:eastAsia="Times New Roman" w:cstheme="minorHAnsi"/>
          <w:sz w:val="24"/>
          <w:szCs w:val="24"/>
        </w:rPr>
      </w:pPr>
      <w:r w:rsidRPr="00BE3E74">
        <w:rPr>
          <w:rFonts w:eastAsia="Times New Roman" w:cstheme="minorHAnsi"/>
          <w:color w:val="000000"/>
        </w:rPr>
        <w:t>The Illinois Department of Public Health on Thursday reported 2,838 new cases of COVID-19 in Illinois, including 102 additional deaths.  On Thursday, labs reported 96,525 test results. As of Wednesday night, 1,954 individuals in Illinois were reported to be in the hospital with COVID-19. Of those, 448 patients were in the ICU and 227 patients with COVID-19 were on ventilators.</w:t>
      </w:r>
    </w:p>
    <w:p w14:paraId="4B3D9DFE" w14:textId="77777777" w:rsidR="00BE3E74" w:rsidRPr="00BE3E74" w:rsidRDefault="00BE3E74" w:rsidP="00BE3E74">
      <w:pPr>
        <w:spacing w:after="0" w:line="240" w:lineRule="auto"/>
        <w:rPr>
          <w:rFonts w:eastAsia="Times New Roman" w:cstheme="minorHAnsi"/>
          <w:sz w:val="24"/>
          <w:szCs w:val="24"/>
        </w:rPr>
      </w:pPr>
    </w:p>
    <w:p w14:paraId="15E2E9D3" w14:textId="77777777" w:rsidR="00BE3E74" w:rsidRPr="00BE3E74" w:rsidRDefault="00BE3E74" w:rsidP="00BE3E74">
      <w:pPr>
        <w:spacing w:after="0" w:line="240" w:lineRule="auto"/>
        <w:rPr>
          <w:rFonts w:eastAsia="Times New Roman" w:cstheme="minorHAnsi"/>
          <w:sz w:val="24"/>
          <w:szCs w:val="24"/>
        </w:rPr>
      </w:pPr>
      <w:r w:rsidRPr="00BE3E74">
        <w:rPr>
          <w:rFonts w:eastAsia="Times New Roman" w:cstheme="minorHAnsi"/>
          <w:color w:val="000000"/>
        </w:rPr>
        <w:t>Illinois reported its first case of the new South African variant on Thursday.  Illinois is reporting 22 cases of the United Kingdom variant.</w:t>
      </w:r>
    </w:p>
    <w:p w14:paraId="3D31013E" w14:textId="77777777" w:rsidR="00BE3E74" w:rsidRPr="00BE3E74" w:rsidRDefault="00BE3E74" w:rsidP="00BE3E74">
      <w:pPr>
        <w:spacing w:after="0" w:line="240" w:lineRule="auto"/>
        <w:rPr>
          <w:rFonts w:eastAsia="Times New Roman" w:cstheme="minorHAnsi"/>
          <w:sz w:val="24"/>
          <w:szCs w:val="24"/>
        </w:rPr>
      </w:pPr>
    </w:p>
    <w:p w14:paraId="1C098D34" w14:textId="1DBADB64" w:rsidR="00BE3E74" w:rsidRPr="00BE3E74" w:rsidRDefault="00BE3E74" w:rsidP="00BE3E74">
      <w:pPr>
        <w:spacing w:after="0" w:line="240" w:lineRule="auto"/>
        <w:rPr>
          <w:rFonts w:eastAsia="Times New Roman" w:cstheme="minorHAnsi"/>
          <w:sz w:val="24"/>
          <w:szCs w:val="24"/>
        </w:rPr>
      </w:pPr>
      <w:r w:rsidRPr="00BE3E74">
        <w:rPr>
          <w:rFonts w:eastAsia="Times New Roman" w:cstheme="minorHAnsi"/>
          <w:b/>
          <w:bCs/>
          <w:color w:val="000000"/>
        </w:rPr>
        <w:t xml:space="preserve">Vaccine Update:  </w:t>
      </w:r>
      <w:r w:rsidRPr="00BE3E74">
        <w:rPr>
          <w:rFonts w:eastAsia="Times New Roman" w:cstheme="minorHAnsi"/>
          <w:color w:val="000000"/>
        </w:rPr>
        <w:t>The Illinois Department of Public Health is expanding Phase 1B of its vaccination efforts beginning February 25th.  Under the new guidelines, individuals under the age of 65 with certain medical vulnerabilities will be allowed to receive vaccinations. Vaccinations will be made available to individuals with disabilities, diabetes, chronic kidney disease, organ transplants, heart disease, pulmonary disease, obesity, pregnancy, sickle cell disease, chronic obtrusive pulmonary disease, or those who have had or currently have cancer. Illinois continues to add vaccination sites as vaccine availability slowly increases.  Currently, vaccinations are available at 850 locations. Note that the City of Chicago, which operates its own vaccination program, may not expand eligibility this month.</w:t>
      </w:r>
    </w:p>
    <w:p w14:paraId="357ACA06" w14:textId="77777777" w:rsidR="00BE3E74" w:rsidRPr="00BE3E74" w:rsidRDefault="00BE3E74" w:rsidP="00BE3E74">
      <w:pPr>
        <w:spacing w:after="0" w:line="240" w:lineRule="auto"/>
        <w:rPr>
          <w:rFonts w:eastAsia="Times New Roman" w:cstheme="minorHAnsi"/>
          <w:sz w:val="24"/>
          <w:szCs w:val="24"/>
        </w:rPr>
      </w:pPr>
    </w:p>
    <w:p w14:paraId="42A5229E" w14:textId="77777777" w:rsidR="00BE3E74" w:rsidRPr="00BE3E74" w:rsidRDefault="00BE3E74" w:rsidP="00BE3E74">
      <w:pPr>
        <w:spacing w:after="0" w:line="240" w:lineRule="auto"/>
        <w:rPr>
          <w:rFonts w:eastAsia="Times New Roman" w:cstheme="minorHAnsi"/>
          <w:sz w:val="24"/>
          <w:szCs w:val="24"/>
        </w:rPr>
      </w:pPr>
      <w:r w:rsidRPr="00BE3E74">
        <w:rPr>
          <w:rFonts w:eastAsia="Times New Roman" w:cstheme="minorHAnsi"/>
          <w:color w:val="000000"/>
        </w:rPr>
        <w:t>A total of 1,929,850 doses of vaccine have been delivered to providers in Illinois. Another 456,100 doses total have been allocated to the federal government’s Pharmacy Partnership Program for long-term care facilities. As of Thursday morning, 1,549,108 vaccines have been administered in Illinois. The 7-day rolling average of vaccines administered daily is 56,094 doses. </w:t>
      </w:r>
    </w:p>
    <w:p w14:paraId="542DEA74" w14:textId="77777777" w:rsidR="00BE3E74" w:rsidRPr="00BE3E74" w:rsidRDefault="00BE3E74" w:rsidP="00BE3E74">
      <w:pPr>
        <w:spacing w:after="0" w:line="240" w:lineRule="auto"/>
        <w:rPr>
          <w:rFonts w:eastAsia="Times New Roman" w:cstheme="minorHAnsi"/>
          <w:sz w:val="24"/>
          <w:szCs w:val="24"/>
        </w:rPr>
      </w:pPr>
    </w:p>
    <w:p w14:paraId="008842EE" w14:textId="77777777" w:rsidR="00BE3E74" w:rsidRPr="00BE3E74" w:rsidRDefault="00BE3E74" w:rsidP="00BE3E74">
      <w:pPr>
        <w:spacing w:after="0" w:line="240" w:lineRule="auto"/>
        <w:rPr>
          <w:rFonts w:eastAsia="Times New Roman" w:cstheme="minorHAnsi"/>
          <w:sz w:val="24"/>
          <w:szCs w:val="24"/>
        </w:rPr>
      </w:pPr>
      <w:r w:rsidRPr="00BE3E74">
        <w:rPr>
          <w:rFonts w:eastAsia="Times New Roman" w:cstheme="minorHAnsi"/>
          <w:b/>
          <w:bCs/>
          <w:color w:val="000000"/>
        </w:rPr>
        <w:t>Executive Orders:</w:t>
      </w:r>
      <w:r w:rsidRPr="00BE3E74">
        <w:rPr>
          <w:rFonts w:eastAsia="Times New Roman" w:cstheme="minorHAnsi"/>
          <w:color w:val="000000"/>
        </w:rPr>
        <w:t xml:space="preserve">  </w:t>
      </w:r>
      <w:hyperlink r:id="rId5" w:history="1">
        <w:r w:rsidRPr="00BE3E74">
          <w:rPr>
            <w:rFonts w:eastAsia="Times New Roman" w:cstheme="minorHAnsi"/>
            <w:color w:val="1155CC"/>
            <w:u w:val="single"/>
          </w:rPr>
          <w:t>Executive Order 2021-04</w:t>
        </w:r>
      </w:hyperlink>
      <w:r w:rsidRPr="00BE3E74">
        <w:rPr>
          <w:rFonts w:eastAsia="Times New Roman" w:cstheme="minorHAnsi"/>
          <w:color w:val="000000"/>
        </w:rPr>
        <w:t xml:space="preserve"> reissues most executive orders through March 6, 2021. </w:t>
      </w:r>
    </w:p>
    <w:p w14:paraId="067C4F53" w14:textId="77777777" w:rsidR="00BE3E74" w:rsidRPr="00BE3E74" w:rsidRDefault="00BE3E74" w:rsidP="00BE3E74">
      <w:pPr>
        <w:spacing w:after="0" w:line="240" w:lineRule="auto"/>
        <w:rPr>
          <w:rFonts w:eastAsia="Times New Roman" w:cstheme="minorHAnsi"/>
          <w:sz w:val="24"/>
          <w:szCs w:val="24"/>
        </w:rPr>
      </w:pPr>
    </w:p>
    <w:p w14:paraId="69FBD2BB" w14:textId="77777777" w:rsidR="00BE3E74" w:rsidRPr="00BE3E74" w:rsidRDefault="00BE3E74" w:rsidP="00BE3E74">
      <w:pPr>
        <w:spacing w:after="0" w:line="240" w:lineRule="auto"/>
        <w:rPr>
          <w:rFonts w:eastAsia="Times New Roman" w:cstheme="minorHAnsi"/>
          <w:sz w:val="24"/>
          <w:szCs w:val="24"/>
        </w:rPr>
      </w:pPr>
      <w:r w:rsidRPr="00BE3E74">
        <w:rPr>
          <w:rFonts w:eastAsia="Times New Roman" w:cstheme="minorHAnsi"/>
          <w:b/>
          <w:bCs/>
          <w:color w:val="000000"/>
        </w:rPr>
        <w:t xml:space="preserve">Diversity on Contracting: </w:t>
      </w:r>
      <w:r w:rsidRPr="00BE3E74">
        <w:rPr>
          <w:rFonts w:eastAsia="Times New Roman" w:cstheme="minorHAnsi"/>
          <w:color w:val="000000"/>
        </w:rPr>
        <w:t xml:space="preserve">The Illinois Department of Central Management Services Business Enterprise Program (BEP) announced the roll out of its new formula to increase representation of diverse contractors throughout the state. The new methodology is the first change to the formula since its inception.  More information is </w:t>
      </w:r>
      <w:hyperlink r:id="rId6" w:history="1">
        <w:r w:rsidRPr="00BE3E74">
          <w:rPr>
            <w:rFonts w:eastAsia="Times New Roman" w:cstheme="minorHAnsi"/>
            <w:color w:val="1155CC"/>
            <w:u w:val="single"/>
          </w:rPr>
          <w:t>here.</w:t>
        </w:r>
      </w:hyperlink>
      <w:r w:rsidRPr="00BE3E74">
        <w:rPr>
          <w:rFonts w:eastAsia="Times New Roman" w:cstheme="minorHAnsi"/>
          <w:color w:val="000000"/>
        </w:rPr>
        <w:t> </w:t>
      </w:r>
    </w:p>
    <w:p w14:paraId="7CD04261" w14:textId="77777777" w:rsidR="00BE3E74" w:rsidRPr="00BE3E74" w:rsidRDefault="00BE3E74" w:rsidP="00BE3E74">
      <w:pPr>
        <w:spacing w:after="0" w:line="240" w:lineRule="auto"/>
        <w:rPr>
          <w:rFonts w:eastAsia="Times New Roman" w:cstheme="minorHAnsi"/>
          <w:sz w:val="24"/>
          <w:szCs w:val="24"/>
        </w:rPr>
      </w:pPr>
    </w:p>
    <w:p w14:paraId="08D66E40" w14:textId="77777777" w:rsidR="00BE3E74" w:rsidRPr="00BE3E74" w:rsidRDefault="00BE3E74" w:rsidP="00BE3E74">
      <w:pPr>
        <w:spacing w:after="0" w:line="240" w:lineRule="auto"/>
        <w:rPr>
          <w:rFonts w:eastAsia="Times New Roman" w:cstheme="minorHAnsi"/>
          <w:sz w:val="24"/>
          <w:szCs w:val="24"/>
        </w:rPr>
      </w:pPr>
    </w:p>
    <w:p w14:paraId="25502FCB" w14:textId="77777777" w:rsidR="00BE3E74" w:rsidRPr="00BE3E74" w:rsidRDefault="00BE3E74" w:rsidP="00BE3E74">
      <w:pPr>
        <w:spacing w:after="0" w:line="240" w:lineRule="auto"/>
        <w:rPr>
          <w:rFonts w:eastAsia="Times New Roman" w:cstheme="minorHAnsi"/>
          <w:sz w:val="24"/>
          <w:szCs w:val="24"/>
        </w:rPr>
      </w:pPr>
      <w:r w:rsidRPr="00BE3E74">
        <w:rPr>
          <w:rFonts w:eastAsia="Times New Roman" w:cstheme="minorHAnsi"/>
          <w:b/>
          <w:bCs/>
          <w:color w:val="000000"/>
          <w:sz w:val="28"/>
          <w:szCs w:val="28"/>
        </w:rPr>
        <w:t>ATTORNEY GENERAL:</w:t>
      </w:r>
    </w:p>
    <w:p w14:paraId="10464E79" w14:textId="77777777" w:rsidR="00BE3E74" w:rsidRPr="00BE3E74" w:rsidRDefault="00BE3E74" w:rsidP="00BE3E74">
      <w:pPr>
        <w:spacing w:after="0" w:line="240" w:lineRule="auto"/>
        <w:rPr>
          <w:rFonts w:eastAsia="Times New Roman" w:cstheme="minorHAnsi"/>
          <w:sz w:val="24"/>
          <w:szCs w:val="24"/>
        </w:rPr>
      </w:pPr>
    </w:p>
    <w:p w14:paraId="743D359F" w14:textId="77777777" w:rsidR="00BE3E74" w:rsidRPr="00BE3E74" w:rsidRDefault="00BE3E74" w:rsidP="00BE3E74">
      <w:pPr>
        <w:spacing w:after="0" w:line="240" w:lineRule="auto"/>
        <w:rPr>
          <w:rFonts w:eastAsia="Times New Roman" w:cstheme="minorHAnsi"/>
          <w:sz w:val="24"/>
          <w:szCs w:val="24"/>
        </w:rPr>
      </w:pPr>
      <w:r w:rsidRPr="00BE3E74">
        <w:rPr>
          <w:rFonts w:eastAsia="Times New Roman" w:cstheme="minorHAnsi"/>
          <w:color w:val="000000"/>
        </w:rPr>
        <w:t>Attorney General Raoul announced that a coalition of 53 attorneys general has reached a settlement of $573 million against McKinsey and Co for its role in helping opioid companies promote their drugs and profiting from the opioid crisis. </w:t>
      </w:r>
    </w:p>
    <w:p w14:paraId="6B3F0168" w14:textId="77777777" w:rsidR="00BE3E74" w:rsidRPr="00BE3E74" w:rsidRDefault="00BE3E74" w:rsidP="00BE3E74">
      <w:pPr>
        <w:spacing w:after="0" w:line="240" w:lineRule="auto"/>
        <w:rPr>
          <w:rFonts w:eastAsia="Times New Roman" w:cstheme="minorHAnsi"/>
          <w:sz w:val="24"/>
          <w:szCs w:val="24"/>
        </w:rPr>
      </w:pPr>
      <w:r w:rsidRPr="00BE3E74">
        <w:rPr>
          <w:rFonts w:eastAsia="Times New Roman" w:cstheme="minorHAnsi"/>
          <w:color w:val="000000"/>
        </w:rPr>
        <w:t> </w:t>
      </w:r>
    </w:p>
    <w:p w14:paraId="6B25DB4E" w14:textId="77777777" w:rsidR="00BE3E74" w:rsidRPr="00BE3E74" w:rsidRDefault="00BE3E74" w:rsidP="00BE3E74">
      <w:pPr>
        <w:spacing w:after="0" w:line="240" w:lineRule="auto"/>
        <w:rPr>
          <w:rFonts w:eastAsia="Times New Roman" w:cstheme="minorHAnsi"/>
          <w:sz w:val="24"/>
          <w:szCs w:val="24"/>
        </w:rPr>
      </w:pPr>
      <w:r w:rsidRPr="00BE3E74">
        <w:rPr>
          <w:rFonts w:eastAsia="Times New Roman" w:cstheme="minorHAnsi"/>
          <w:color w:val="000000"/>
        </w:rPr>
        <w:t xml:space="preserve">Illinois’ share of the settlement will be $19.8 million – monies to be used to abate the effects of the opioid epidemic.  More info on the case, which is the first multistate settlement to yield significant payment to address the opioid issue, </w:t>
      </w:r>
      <w:hyperlink r:id="rId7" w:history="1">
        <w:r w:rsidRPr="00BE3E74">
          <w:rPr>
            <w:rFonts w:eastAsia="Times New Roman" w:cstheme="minorHAnsi"/>
            <w:color w:val="954F72"/>
            <w:u w:val="single"/>
          </w:rPr>
          <w:t>here</w:t>
        </w:r>
      </w:hyperlink>
      <w:r w:rsidRPr="00BE3E74">
        <w:rPr>
          <w:rFonts w:eastAsia="Times New Roman" w:cstheme="minorHAnsi"/>
          <w:color w:val="954F72"/>
          <w:u w:val="single"/>
        </w:rPr>
        <w:t>.</w:t>
      </w:r>
    </w:p>
    <w:p w14:paraId="265B282A" w14:textId="77777777" w:rsidR="00BE3E74" w:rsidRPr="00BE3E74" w:rsidRDefault="00BE3E74" w:rsidP="00BE3E74">
      <w:pPr>
        <w:spacing w:before="240" w:after="240" w:line="240" w:lineRule="auto"/>
        <w:rPr>
          <w:rFonts w:eastAsia="Times New Roman" w:cstheme="minorHAnsi"/>
          <w:sz w:val="24"/>
          <w:szCs w:val="24"/>
        </w:rPr>
      </w:pPr>
      <w:r w:rsidRPr="00BE3E74">
        <w:rPr>
          <w:rFonts w:eastAsia="Times New Roman" w:cstheme="minorHAnsi"/>
          <w:b/>
          <w:bCs/>
          <w:color w:val="000000"/>
          <w:sz w:val="28"/>
          <w:szCs w:val="28"/>
        </w:rPr>
        <w:t>102nd GENERAL ASSEMBLY: </w:t>
      </w:r>
    </w:p>
    <w:p w14:paraId="12208B3B" w14:textId="77777777" w:rsidR="00BE3E74" w:rsidRPr="00BE3E74" w:rsidRDefault="00BE3E74" w:rsidP="00BE3E74">
      <w:pPr>
        <w:spacing w:before="240" w:after="240" w:line="240" w:lineRule="auto"/>
        <w:rPr>
          <w:rFonts w:eastAsia="Times New Roman" w:cstheme="minorHAnsi"/>
          <w:sz w:val="24"/>
          <w:szCs w:val="24"/>
        </w:rPr>
      </w:pPr>
      <w:r w:rsidRPr="00BE3E74">
        <w:rPr>
          <w:rFonts w:eastAsia="Times New Roman" w:cstheme="minorHAnsi"/>
          <w:color w:val="000000"/>
        </w:rPr>
        <w:t xml:space="preserve">The Illinois House moved the </w:t>
      </w:r>
      <w:r w:rsidRPr="00BE3E74">
        <w:rPr>
          <w:rFonts w:eastAsia="Times New Roman" w:cstheme="minorHAnsi"/>
          <w:b/>
          <w:bCs/>
          <w:color w:val="000000"/>
        </w:rPr>
        <w:t>deadline to file substantive House</w:t>
      </w:r>
      <w:r w:rsidRPr="00BE3E74">
        <w:rPr>
          <w:rFonts w:eastAsia="Times New Roman" w:cstheme="minorHAnsi"/>
          <w:color w:val="000000"/>
        </w:rPr>
        <w:t xml:space="preserve"> Bills from February 11th to </w:t>
      </w:r>
      <w:r w:rsidRPr="00BE3E74">
        <w:rPr>
          <w:rFonts w:eastAsia="Times New Roman" w:cstheme="minorHAnsi"/>
          <w:b/>
          <w:bCs/>
          <w:color w:val="000000"/>
        </w:rPr>
        <w:t>February 19th</w:t>
      </w:r>
      <w:r w:rsidRPr="00BE3E74">
        <w:rPr>
          <w:rFonts w:eastAsia="Times New Roman" w:cstheme="minorHAnsi"/>
          <w:color w:val="000000"/>
        </w:rPr>
        <w:t>.  </w:t>
      </w:r>
    </w:p>
    <w:p w14:paraId="058A2437" w14:textId="77777777" w:rsidR="00BE3E74" w:rsidRPr="00BE3E74" w:rsidRDefault="00BE3E74" w:rsidP="00BE3E74">
      <w:pPr>
        <w:spacing w:before="240" w:after="240" w:line="240" w:lineRule="auto"/>
        <w:rPr>
          <w:rFonts w:eastAsia="Times New Roman" w:cstheme="minorHAnsi"/>
          <w:sz w:val="24"/>
          <w:szCs w:val="24"/>
        </w:rPr>
      </w:pPr>
      <w:r w:rsidRPr="00BE3E74">
        <w:rPr>
          <w:rFonts w:eastAsia="Times New Roman" w:cstheme="minorHAnsi"/>
          <w:color w:val="000000"/>
        </w:rPr>
        <w:t>The Illinois House convened in Springfield on Wednesday to adopt operating rules for the 102nd General Assembly.  The rules were adopted along partisan lines with Republicans arguing that the changes do not enhance the transparency of the legislative process.  Leader Harris indicated that the 12 changes, vetted by a working group of legislators, were consensus items.  Legislators will continue to review further suggestions for change in the coming months.  Notable changes to the operating include:</w:t>
      </w:r>
    </w:p>
    <w:p w14:paraId="1F9BF3ED" w14:textId="77777777" w:rsidR="00BE3E74" w:rsidRPr="00BE3E74" w:rsidRDefault="00BE3E74" w:rsidP="00BE3E74">
      <w:pPr>
        <w:numPr>
          <w:ilvl w:val="0"/>
          <w:numId w:val="2"/>
        </w:numPr>
        <w:spacing w:before="240" w:after="0" w:line="240" w:lineRule="auto"/>
        <w:textAlignment w:val="baseline"/>
        <w:rPr>
          <w:rFonts w:eastAsia="Times New Roman" w:cstheme="minorHAnsi"/>
          <w:color w:val="000000"/>
        </w:rPr>
      </w:pPr>
      <w:r w:rsidRPr="00BE3E74">
        <w:rPr>
          <w:rFonts w:eastAsia="Times New Roman" w:cstheme="minorHAnsi"/>
          <w:color w:val="000000"/>
        </w:rPr>
        <w:t>Creates term limits for the offices of Speaker and Minority Leader - 5 terms (10 years).</w:t>
      </w:r>
    </w:p>
    <w:p w14:paraId="3CE98970" w14:textId="77777777" w:rsidR="00BE3E74" w:rsidRPr="00BE3E74" w:rsidRDefault="00BE3E74" w:rsidP="00BE3E74">
      <w:pPr>
        <w:numPr>
          <w:ilvl w:val="0"/>
          <w:numId w:val="2"/>
        </w:numPr>
        <w:spacing w:after="0" w:line="240" w:lineRule="auto"/>
        <w:textAlignment w:val="baseline"/>
        <w:rPr>
          <w:rFonts w:eastAsia="Times New Roman" w:cstheme="minorHAnsi"/>
          <w:color w:val="000000"/>
        </w:rPr>
      </w:pPr>
      <w:r w:rsidRPr="00BE3E74">
        <w:rPr>
          <w:rFonts w:eastAsia="Times New Roman" w:cstheme="minorHAnsi"/>
          <w:color w:val="000000"/>
        </w:rPr>
        <w:t>Allows the Rules Committee to meet remotely.</w:t>
      </w:r>
    </w:p>
    <w:p w14:paraId="664A6C52" w14:textId="77777777" w:rsidR="00BE3E74" w:rsidRPr="00BE3E74" w:rsidRDefault="00BE3E74" w:rsidP="00BE3E74">
      <w:pPr>
        <w:numPr>
          <w:ilvl w:val="0"/>
          <w:numId w:val="2"/>
        </w:numPr>
        <w:spacing w:after="0" w:line="240" w:lineRule="auto"/>
        <w:textAlignment w:val="baseline"/>
        <w:rPr>
          <w:rFonts w:eastAsia="Times New Roman" w:cstheme="minorHAnsi"/>
          <w:color w:val="000000"/>
        </w:rPr>
      </w:pPr>
      <w:r w:rsidRPr="00BE3E74">
        <w:rPr>
          <w:rFonts w:eastAsia="Times New Roman" w:cstheme="minorHAnsi"/>
          <w:color w:val="000000"/>
        </w:rPr>
        <w:t>Prohibits the Speaker and Minority Leader from serving on the Rules Committee.</w:t>
      </w:r>
    </w:p>
    <w:p w14:paraId="502A6F70" w14:textId="77777777" w:rsidR="00BE3E74" w:rsidRPr="00BE3E74" w:rsidRDefault="00BE3E74" w:rsidP="00BE3E74">
      <w:pPr>
        <w:numPr>
          <w:ilvl w:val="0"/>
          <w:numId w:val="2"/>
        </w:numPr>
        <w:spacing w:after="0" w:line="240" w:lineRule="auto"/>
        <w:textAlignment w:val="baseline"/>
        <w:rPr>
          <w:rFonts w:eastAsia="Times New Roman" w:cstheme="minorHAnsi"/>
          <w:color w:val="000000"/>
        </w:rPr>
      </w:pPr>
      <w:r w:rsidRPr="00BE3E74">
        <w:rPr>
          <w:rFonts w:eastAsia="Times New Roman" w:cstheme="minorHAnsi"/>
          <w:color w:val="000000"/>
        </w:rPr>
        <w:t>For odd-numbered years, the Rules Committee is required to refer all House Bills to standing committees.  Referral must be prior to the committee deadline.</w:t>
      </w:r>
    </w:p>
    <w:p w14:paraId="0701F9E0" w14:textId="77777777" w:rsidR="00BE3E74" w:rsidRPr="00BE3E74" w:rsidRDefault="00BE3E74" w:rsidP="00BE3E74">
      <w:pPr>
        <w:numPr>
          <w:ilvl w:val="0"/>
          <w:numId w:val="2"/>
        </w:numPr>
        <w:spacing w:after="0" w:line="240" w:lineRule="auto"/>
        <w:textAlignment w:val="baseline"/>
        <w:rPr>
          <w:rFonts w:eastAsia="Times New Roman" w:cstheme="minorHAnsi"/>
          <w:color w:val="000000"/>
        </w:rPr>
      </w:pPr>
      <w:r w:rsidRPr="00BE3E74">
        <w:rPr>
          <w:rFonts w:eastAsia="Times New Roman" w:cstheme="minorHAnsi"/>
          <w:color w:val="000000"/>
        </w:rPr>
        <w:t>Allows committees and task forces to meet remotely.  Includes provisions to allow witnesses to testify remotely.</w:t>
      </w:r>
    </w:p>
    <w:p w14:paraId="71DBC636" w14:textId="77777777" w:rsidR="00BE3E74" w:rsidRPr="00BE3E74" w:rsidRDefault="00BE3E74" w:rsidP="00BE3E74">
      <w:pPr>
        <w:numPr>
          <w:ilvl w:val="0"/>
          <w:numId w:val="2"/>
        </w:numPr>
        <w:spacing w:after="0" w:line="240" w:lineRule="auto"/>
        <w:textAlignment w:val="baseline"/>
        <w:rPr>
          <w:rFonts w:eastAsia="Times New Roman" w:cstheme="minorHAnsi"/>
          <w:color w:val="000000"/>
        </w:rPr>
      </w:pPr>
      <w:r w:rsidRPr="00BE3E74">
        <w:rPr>
          <w:rFonts w:eastAsia="Times New Roman" w:cstheme="minorHAnsi"/>
          <w:color w:val="000000"/>
        </w:rPr>
        <w:t>Continues current COVID protocols for in-person hearings.  Access continues to be limited to members, staff and press.  Gives chairs the discretion to limit testimony to written testimony.  The provisions apply during the duration of a disaster proclamation.  New provisions were added to prevent this rule from being suspended.</w:t>
      </w:r>
    </w:p>
    <w:p w14:paraId="174FFC88" w14:textId="7DC220C0" w:rsidR="00BE3E74" w:rsidRPr="00BE3E74" w:rsidRDefault="00BE3E74" w:rsidP="00BE3E74">
      <w:pPr>
        <w:numPr>
          <w:ilvl w:val="0"/>
          <w:numId w:val="2"/>
        </w:numPr>
        <w:spacing w:after="240" w:line="240" w:lineRule="auto"/>
        <w:textAlignment w:val="baseline"/>
        <w:rPr>
          <w:rFonts w:eastAsia="Times New Roman" w:cstheme="minorHAnsi"/>
          <w:color w:val="000000"/>
        </w:rPr>
      </w:pPr>
      <w:r w:rsidRPr="00BE3E74">
        <w:rPr>
          <w:rFonts w:eastAsia="Times New Roman" w:cstheme="minorHAnsi"/>
          <w:color w:val="000000"/>
        </w:rPr>
        <w:t>With respect to any Special Investigating Committee and Select Committee on Discipline, if the subject of the hearing is the Speaker or the Minority Leader, the next highest</w:t>
      </w:r>
      <w:r>
        <w:rPr>
          <w:rFonts w:eastAsia="Times New Roman" w:cstheme="minorHAnsi"/>
          <w:color w:val="000000"/>
        </w:rPr>
        <w:t>-</w:t>
      </w:r>
      <w:r w:rsidRPr="00BE3E74">
        <w:rPr>
          <w:rFonts w:eastAsia="Times New Roman" w:cstheme="minorHAnsi"/>
          <w:color w:val="000000"/>
        </w:rPr>
        <w:t>ranking member will have powers and duties of the leader. </w:t>
      </w:r>
    </w:p>
    <w:p w14:paraId="7326CD46" w14:textId="68FBC68F" w:rsidR="0087238B" w:rsidRDefault="0087238B" w:rsidP="00BE3E74">
      <w:pPr>
        <w:spacing w:after="240" w:line="240" w:lineRule="auto"/>
        <w:rPr>
          <w:rFonts w:eastAsia="Times New Roman" w:cstheme="minorHAnsi"/>
          <w:color w:val="000000"/>
        </w:rPr>
      </w:pPr>
      <w:r>
        <w:rPr>
          <w:rFonts w:eastAsia="Times New Roman" w:cstheme="minorHAnsi"/>
          <w:color w:val="000000"/>
        </w:rPr>
        <w:t>Speaker Welch announced</w:t>
      </w:r>
      <w:r w:rsidR="003B3EC8">
        <w:rPr>
          <w:rFonts w:eastAsia="Times New Roman" w:cstheme="minorHAnsi"/>
          <w:color w:val="000000"/>
        </w:rPr>
        <w:t xml:space="preserve"> Democratic Committee Assignments yesterday. The full list can be viewed </w:t>
      </w:r>
      <w:hyperlink r:id="rId8" w:history="1">
        <w:r w:rsidR="003B3EC8" w:rsidRPr="003B3EC8">
          <w:rPr>
            <w:rStyle w:val="Hyperlink"/>
            <w:rFonts w:eastAsia="Times New Roman" w:cstheme="minorHAnsi"/>
          </w:rPr>
          <w:t>here</w:t>
        </w:r>
      </w:hyperlink>
      <w:r w:rsidR="003B3EC8">
        <w:rPr>
          <w:rFonts w:eastAsia="Times New Roman" w:cstheme="minorHAnsi"/>
          <w:color w:val="000000"/>
        </w:rPr>
        <w:t xml:space="preserve">. While the House Insurance Committee will be chaired again by Rep. Thaddeus Jones, his Vice-Chair will now be Rep. Bob Morgan. The Insurance Committee will feature a lot of new faces that previously weren’t on the committee. </w:t>
      </w:r>
    </w:p>
    <w:p w14:paraId="7297AB12" w14:textId="329DFB5B" w:rsidR="00BE3E74" w:rsidRPr="00BE3E74" w:rsidRDefault="00BE3E74" w:rsidP="00BE3E74">
      <w:pPr>
        <w:spacing w:after="240" w:line="240" w:lineRule="auto"/>
        <w:rPr>
          <w:rFonts w:eastAsia="Times New Roman" w:cstheme="minorHAnsi"/>
          <w:sz w:val="24"/>
          <w:szCs w:val="24"/>
        </w:rPr>
      </w:pPr>
      <w:r w:rsidRPr="00BE3E74">
        <w:rPr>
          <w:rFonts w:eastAsia="Times New Roman" w:cstheme="minorHAnsi"/>
          <w:color w:val="000000"/>
        </w:rPr>
        <w:lastRenderedPageBreak/>
        <w:t>The Commission on Government Forecasting and Accountability issued their January revenue report. Read the full report</w:t>
      </w:r>
      <w:hyperlink r:id="rId9" w:history="1">
        <w:r w:rsidRPr="00BE3E74">
          <w:rPr>
            <w:rFonts w:eastAsia="Times New Roman" w:cstheme="minorHAnsi"/>
            <w:color w:val="000000"/>
            <w:u w:val="single"/>
          </w:rPr>
          <w:t xml:space="preserve"> </w:t>
        </w:r>
        <w:r w:rsidRPr="00BE3E74">
          <w:rPr>
            <w:rFonts w:eastAsia="Times New Roman" w:cstheme="minorHAnsi"/>
            <w:color w:val="1155CC"/>
            <w:u w:val="single"/>
          </w:rPr>
          <w:t>here.</w:t>
        </w:r>
      </w:hyperlink>
      <w:r w:rsidRPr="00BE3E74">
        <w:rPr>
          <w:rFonts w:eastAsia="Times New Roman" w:cstheme="minorHAnsi"/>
          <w:color w:val="000000"/>
        </w:rPr>
        <w:t>  </w:t>
      </w:r>
    </w:p>
    <w:p w14:paraId="3F8ABE2F" w14:textId="77777777" w:rsidR="00BE3E74" w:rsidRPr="00BE3E74" w:rsidRDefault="00BE3E74" w:rsidP="00BE3E74">
      <w:pPr>
        <w:spacing w:before="240" w:after="240" w:line="240" w:lineRule="auto"/>
        <w:rPr>
          <w:rFonts w:eastAsia="Times New Roman" w:cstheme="minorHAnsi"/>
          <w:sz w:val="24"/>
          <w:szCs w:val="24"/>
        </w:rPr>
      </w:pPr>
      <w:r w:rsidRPr="00BE3E74">
        <w:rPr>
          <w:rFonts w:eastAsia="Times New Roman" w:cstheme="minorHAnsi"/>
          <w:color w:val="000000"/>
        </w:rPr>
        <w:t>Doris Turner was appointed to represent the 48</w:t>
      </w:r>
      <w:r w:rsidRPr="00BE3E74">
        <w:rPr>
          <w:rFonts w:eastAsia="Times New Roman" w:cstheme="minorHAnsi"/>
          <w:color w:val="000000"/>
          <w:sz w:val="13"/>
          <w:szCs w:val="13"/>
          <w:vertAlign w:val="superscript"/>
        </w:rPr>
        <w:t>th</w:t>
      </w:r>
      <w:r w:rsidRPr="00BE3E74">
        <w:rPr>
          <w:rFonts w:eastAsia="Times New Roman" w:cstheme="minorHAnsi"/>
          <w:color w:val="000000"/>
        </w:rPr>
        <w:t xml:space="preserve"> Senate District, replacing former State Senator Andy Manar.  Turner is Chair of the Sangamon County Democratic Party and City of Springfield Alderman.  </w:t>
      </w:r>
    </w:p>
    <w:p w14:paraId="48AEF999" w14:textId="77777777" w:rsidR="00BE3E74" w:rsidRPr="00BE3E74" w:rsidRDefault="00BE3E74" w:rsidP="00BE3E74">
      <w:pPr>
        <w:spacing w:before="240" w:after="240" w:line="240" w:lineRule="auto"/>
        <w:rPr>
          <w:rFonts w:eastAsia="Times New Roman" w:cstheme="minorHAnsi"/>
          <w:sz w:val="24"/>
          <w:szCs w:val="24"/>
        </w:rPr>
      </w:pPr>
      <w:r w:rsidRPr="00BE3E74">
        <w:rPr>
          <w:rFonts w:eastAsia="Times New Roman" w:cstheme="minorHAnsi"/>
          <w:color w:val="000000"/>
        </w:rPr>
        <w:t>Mike Simmons was selected over State Representative Kelly Cassidy to represent the 7th Senate District, replacing former State Senator Heather Steans.  Simmons is the founder and CEO of Blue Sky Strategies and the deputy director of My Brother’s Keeper.  He previously worked as an aide to US Senator Dick Durbin.  </w:t>
      </w:r>
    </w:p>
    <w:p w14:paraId="7BAA4B54" w14:textId="77777777" w:rsidR="00BE3E74" w:rsidRPr="00BE3E74" w:rsidRDefault="00BE3E74" w:rsidP="00BE3E74">
      <w:pPr>
        <w:spacing w:after="0" w:line="240" w:lineRule="auto"/>
        <w:rPr>
          <w:rFonts w:eastAsia="Times New Roman" w:cstheme="minorHAnsi"/>
          <w:sz w:val="24"/>
          <w:szCs w:val="24"/>
        </w:rPr>
      </w:pPr>
      <w:r w:rsidRPr="00BE3E74">
        <w:rPr>
          <w:rFonts w:eastAsia="Times New Roman" w:cstheme="minorHAnsi"/>
          <w:color w:val="000000"/>
        </w:rPr>
        <w:t xml:space="preserve">Senator Castro and Representatives Ortiz and Villa were selected to lead the Illinois Latino Caucus.  A full list of the Latino Caucus membership is </w:t>
      </w:r>
      <w:hyperlink r:id="rId10" w:history="1">
        <w:r w:rsidRPr="00BE3E74">
          <w:rPr>
            <w:rFonts w:eastAsia="Times New Roman" w:cstheme="minorHAnsi"/>
            <w:color w:val="1155CC"/>
            <w:u w:val="single"/>
          </w:rPr>
          <w:t>here.</w:t>
        </w:r>
      </w:hyperlink>
      <w:r w:rsidRPr="00BE3E74">
        <w:rPr>
          <w:rFonts w:eastAsia="Times New Roman" w:cstheme="minorHAnsi"/>
          <w:color w:val="000000"/>
        </w:rPr>
        <w:t> </w:t>
      </w:r>
    </w:p>
    <w:p w14:paraId="4F18D32B" w14:textId="77777777" w:rsidR="00BE3E74" w:rsidRPr="00BE3E74" w:rsidRDefault="00BE3E74" w:rsidP="00BE3E74">
      <w:pPr>
        <w:spacing w:after="0" w:line="240" w:lineRule="auto"/>
        <w:rPr>
          <w:rFonts w:eastAsia="Times New Roman" w:cstheme="minorHAnsi"/>
          <w:sz w:val="24"/>
          <w:szCs w:val="24"/>
        </w:rPr>
      </w:pPr>
    </w:p>
    <w:p w14:paraId="066A09FE" w14:textId="77777777" w:rsidR="00BE3E74" w:rsidRPr="00BE3E74" w:rsidRDefault="00BE3E74" w:rsidP="00BE3E74">
      <w:pPr>
        <w:spacing w:after="0" w:line="240" w:lineRule="auto"/>
        <w:rPr>
          <w:rFonts w:eastAsia="Times New Roman" w:cstheme="minorHAnsi"/>
          <w:sz w:val="24"/>
          <w:szCs w:val="24"/>
        </w:rPr>
      </w:pPr>
      <w:r w:rsidRPr="00BE3E74">
        <w:rPr>
          <w:rFonts w:eastAsia="Times New Roman" w:cstheme="minorHAnsi"/>
          <w:b/>
          <w:bCs/>
          <w:color w:val="000000"/>
          <w:sz w:val="28"/>
          <w:szCs w:val="28"/>
        </w:rPr>
        <w:t>COMING UP:</w:t>
      </w:r>
    </w:p>
    <w:p w14:paraId="2D0E01EF" w14:textId="77777777" w:rsidR="00BE3E74" w:rsidRPr="00BE3E74" w:rsidRDefault="00BE3E74" w:rsidP="00BE3E74">
      <w:pPr>
        <w:spacing w:after="0" w:line="240" w:lineRule="auto"/>
        <w:rPr>
          <w:rFonts w:eastAsia="Times New Roman" w:cstheme="minorHAnsi"/>
          <w:sz w:val="24"/>
          <w:szCs w:val="24"/>
        </w:rPr>
      </w:pPr>
    </w:p>
    <w:p w14:paraId="0D6CEB32" w14:textId="77777777" w:rsidR="00BE3E74" w:rsidRPr="00BE3E74" w:rsidRDefault="00BE3E74" w:rsidP="00BE3E74">
      <w:pPr>
        <w:spacing w:after="0" w:line="240" w:lineRule="auto"/>
        <w:rPr>
          <w:rFonts w:eastAsia="Times New Roman" w:cstheme="minorHAnsi"/>
          <w:sz w:val="24"/>
          <w:szCs w:val="24"/>
        </w:rPr>
      </w:pPr>
      <w:r w:rsidRPr="00BE3E74">
        <w:rPr>
          <w:rFonts w:eastAsia="Times New Roman" w:cstheme="minorHAnsi"/>
          <w:color w:val="000000"/>
        </w:rPr>
        <w:t xml:space="preserve">Friday, February 12th and Monday, February 15th are state holidays; no official business will be conducted.  Friday, </w:t>
      </w:r>
      <w:r w:rsidRPr="00BE3E74">
        <w:rPr>
          <w:rFonts w:eastAsia="Times New Roman" w:cstheme="minorHAnsi"/>
          <w:b/>
          <w:bCs/>
          <w:color w:val="000000"/>
        </w:rPr>
        <w:t>February 19th is</w:t>
      </w:r>
      <w:r w:rsidRPr="00BE3E74">
        <w:rPr>
          <w:rFonts w:eastAsia="Times New Roman" w:cstheme="minorHAnsi"/>
          <w:color w:val="000000"/>
        </w:rPr>
        <w:t xml:space="preserve"> the deadline to file substantive House Bills.  Friday, </w:t>
      </w:r>
      <w:r w:rsidRPr="00BE3E74">
        <w:rPr>
          <w:rFonts w:eastAsia="Times New Roman" w:cstheme="minorHAnsi"/>
          <w:b/>
          <w:bCs/>
          <w:color w:val="000000"/>
        </w:rPr>
        <w:t>February 26th</w:t>
      </w:r>
      <w:r w:rsidRPr="00BE3E74">
        <w:rPr>
          <w:rFonts w:eastAsia="Times New Roman" w:cstheme="minorHAnsi"/>
          <w:color w:val="000000"/>
        </w:rPr>
        <w:t xml:space="preserve"> is the deadline to file substantive Senate Bills.</w:t>
      </w:r>
    </w:p>
    <w:p w14:paraId="26878793" w14:textId="77777777" w:rsidR="00BE3E74" w:rsidRPr="00BE3E74" w:rsidRDefault="00BE3E74" w:rsidP="00BE3E74">
      <w:pPr>
        <w:spacing w:after="0" w:line="240" w:lineRule="auto"/>
        <w:rPr>
          <w:rFonts w:eastAsia="Times New Roman" w:cstheme="minorHAnsi"/>
          <w:sz w:val="24"/>
          <w:szCs w:val="24"/>
        </w:rPr>
      </w:pPr>
    </w:p>
    <w:p w14:paraId="3868E4E6" w14:textId="77777777" w:rsidR="00BE3E74" w:rsidRPr="00BE3E74" w:rsidRDefault="00BE3E74" w:rsidP="00BE3E74">
      <w:pPr>
        <w:spacing w:after="240" w:line="240" w:lineRule="auto"/>
        <w:rPr>
          <w:rFonts w:eastAsia="Times New Roman" w:cstheme="minorHAnsi"/>
          <w:sz w:val="24"/>
          <w:szCs w:val="24"/>
        </w:rPr>
      </w:pPr>
      <w:r w:rsidRPr="00BE3E74">
        <w:rPr>
          <w:rFonts w:eastAsia="Times New Roman" w:cstheme="minorHAnsi"/>
          <w:color w:val="000000"/>
        </w:rPr>
        <w:t>The Senate Public Safety and Criminal Law Committees will hold a joint virtual hearing on February 16th at 1 pm to discuss an update on public safety outcomes.</w:t>
      </w:r>
    </w:p>
    <w:p w14:paraId="2B2224DF" w14:textId="758DBB06" w:rsidR="00BE3E74" w:rsidRDefault="00BE3E74" w:rsidP="00BE3E74">
      <w:pPr>
        <w:spacing w:after="240" w:line="240" w:lineRule="auto"/>
        <w:rPr>
          <w:rFonts w:eastAsia="Times New Roman" w:cstheme="minorHAnsi"/>
          <w:color w:val="000000"/>
        </w:rPr>
      </w:pPr>
      <w:r w:rsidRPr="00BE3E74">
        <w:rPr>
          <w:rFonts w:eastAsia="Times New Roman" w:cstheme="minorHAnsi"/>
          <w:color w:val="000000"/>
        </w:rPr>
        <w:t>The Senate Labor Committee will hold a virtual hearing on February 17th at 9:00 am to discuss unemployment insurance. </w:t>
      </w:r>
    </w:p>
    <w:p w14:paraId="3E655845" w14:textId="53E0E3BD" w:rsidR="00BE3E74" w:rsidRPr="00BE3E74" w:rsidRDefault="00BE3E74" w:rsidP="00BE3E74">
      <w:pPr>
        <w:spacing w:after="240" w:line="240" w:lineRule="auto"/>
        <w:rPr>
          <w:rFonts w:eastAsia="Times New Roman" w:cstheme="minorHAnsi"/>
          <w:sz w:val="24"/>
          <w:szCs w:val="24"/>
        </w:rPr>
      </w:pPr>
      <w:r>
        <w:rPr>
          <w:rFonts w:eastAsia="Times New Roman" w:cstheme="minorHAnsi"/>
          <w:color w:val="000000"/>
        </w:rPr>
        <w:t>The Senate Tourism and Hospitality Committee will hold a virtual hearing on February 18</w:t>
      </w:r>
      <w:r w:rsidRPr="00BE3E74">
        <w:rPr>
          <w:rFonts w:eastAsia="Times New Roman" w:cstheme="minorHAnsi"/>
          <w:color w:val="000000"/>
          <w:vertAlign w:val="superscript"/>
        </w:rPr>
        <w:t>th</w:t>
      </w:r>
      <w:r>
        <w:rPr>
          <w:rFonts w:eastAsia="Times New Roman" w:cstheme="minorHAnsi"/>
          <w:color w:val="000000"/>
        </w:rPr>
        <w:t xml:space="preserve"> at 10 am to discuss </w:t>
      </w:r>
      <w:r>
        <w:t>a strategic plan for COVID recovery in the hospitality industry.</w:t>
      </w:r>
    </w:p>
    <w:p w14:paraId="57ED4644" w14:textId="77777777" w:rsidR="00BE3E74" w:rsidRPr="00BE3E74" w:rsidRDefault="00BE3E74" w:rsidP="00BE3E74">
      <w:pPr>
        <w:pStyle w:val="NoSpacing"/>
        <w:rPr>
          <w:rFonts w:cstheme="minorHAnsi"/>
          <w:sz w:val="24"/>
          <w:szCs w:val="24"/>
        </w:rPr>
      </w:pPr>
      <w:r w:rsidRPr="00BE3E74">
        <w:rPr>
          <w:rFonts w:cstheme="minorHAnsi"/>
        </w:rPr>
        <w:t>2021 Key Session Dates:</w:t>
      </w:r>
    </w:p>
    <w:p w14:paraId="44AD94F1" w14:textId="77777777" w:rsidR="00BE3E74" w:rsidRPr="00BE3E74" w:rsidRDefault="00BE3E74" w:rsidP="00BE3E74">
      <w:pPr>
        <w:pStyle w:val="NoSpacing"/>
        <w:rPr>
          <w:rFonts w:cstheme="minorHAnsi"/>
          <w:sz w:val="24"/>
          <w:szCs w:val="24"/>
        </w:rPr>
      </w:pPr>
      <w:r w:rsidRPr="00BE3E74">
        <w:rPr>
          <w:rFonts w:cstheme="minorHAnsi"/>
        </w:rPr>
        <w:t>February 17 - Governor’s State of the State/Budget Address</w:t>
      </w:r>
    </w:p>
    <w:p w14:paraId="5237AD27" w14:textId="77777777" w:rsidR="00BE3E74" w:rsidRPr="00BE3E74" w:rsidRDefault="00BE3E74" w:rsidP="00BE3E74">
      <w:pPr>
        <w:pStyle w:val="NoSpacing"/>
        <w:rPr>
          <w:rFonts w:cstheme="minorHAnsi"/>
          <w:sz w:val="24"/>
          <w:szCs w:val="24"/>
        </w:rPr>
      </w:pPr>
      <w:r w:rsidRPr="00BE3E74">
        <w:rPr>
          <w:rFonts w:cstheme="minorHAnsi"/>
        </w:rPr>
        <w:t>February 19 - Deadline to File Substantive Senate Bills</w:t>
      </w:r>
    </w:p>
    <w:p w14:paraId="3CFA9593" w14:textId="77777777" w:rsidR="00BE3E74" w:rsidRPr="00BE3E74" w:rsidRDefault="00BE3E74" w:rsidP="00BE3E74">
      <w:pPr>
        <w:pStyle w:val="NoSpacing"/>
        <w:rPr>
          <w:rFonts w:cstheme="minorHAnsi"/>
          <w:sz w:val="24"/>
          <w:szCs w:val="24"/>
        </w:rPr>
      </w:pPr>
      <w:r w:rsidRPr="00BE3E74">
        <w:rPr>
          <w:rFonts w:cstheme="minorHAnsi"/>
        </w:rPr>
        <w:t>February 23 - Consolidated Primary Election</w:t>
      </w:r>
    </w:p>
    <w:p w14:paraId="7448EB29" w14:textId="77777777" w:rsidR="00BE3E74" w:rsidRPr="00BE3E74" w:rsidRDefault="00BE3E74" w:rsidP="00BE3E74">
      <w:pPr>
        <w:pStyle w:val="NoSpacing"/>
        <w:rPr>
          <w:rFonts w:cstheme="minorHAnsi"/>
          <w:sz w:val="24"/>
          <w:szCs w:val="24"/>
        </w:rPr>
      </w:pPr>
      <w:r w:rsidRPr="00BE3E74">
        <w:rPr>
          <w:rFonts w:cstheme="minorHAnsi"/>
        </w:rPr>
        <w:t>February 26 – Deadline: Introduction of Substantive Senate Bills</w:t>
      </w:r>
    </w:p>
    <w:p w14:paraId="2C727E07" w14:textId="77777777" w:rsidR="00BE3E74" w:rsidRPr="00BE3E74" w:rsidRDefault="00BE3E74" w:rsidP="00BE3E74">
      <w:pPr>
        <w:pStyle w:val="NoSpacing"/>
        <w:rPr>
          <w:rFonts w:cstheme="minorHAnsi"/>
          <w:sz w:val="24"/>
          <w:szCs w:val="24"/>
        </w:rPr>
      </w:pPr>
      <w:r w:rsidRPr="00BE3E74">
        <w:rPr>
          <w:rFonts w:cstheme="minorHAnsi"/>
        </w:rPr>
        <w:t>March 26 – Deadline: Substantive Bills out of Committee/both chambers</w:t>
      </w:r>
    </w:p>
    <w:p w14:paraId="3F59AF61" w14:textId="77777777" w:rsidR="00BE3E74" w:rsidRPr="00BE3E74" w:rsidRDefault="00BE3E74" w:rsidP="00BE3E74">
      <w:pPr>
        <w:pStyle w:val="NoSpacing"/>
        <w:rPr>
          <w:rFonts w:cstheme="minorHAnsi"/>
          <w:sz w:val="24"/>
          <w:szCs w:val="24"/>
        </w:rPr>
      </w:pPr>
      <w:r w:rsidRPr="00BE3E74">
        <w:rPr>
          <w:rFonts w:cstheme="minorHAnsi"/>
        </w:rPr>
        <w:t>March 29 - April 9 Spring Break</w:t>
      </w:r>
    </w:p>
    <w:p w14:paraId="6EA9F819" w14:textId="77777777" w:rsidR="00BE3E74" w:rsidRPr="00BE3E74" w:rsidRDefault="00BE3E74" w:rsidP="00BE3E74">
      <w:pPr>
        <w:pStyle w:val="NoSpacing"/>
        <w:rPr>
          <w:rFonts w:cstheme="minorHAnsi"/>
          <w:sz w:val="24"/>
          <w:szCs w:val="24"/>
        </w:rPr>
      </w:pPr>
      <w:r w:rsidRPr="00BE3E74">
        <w:rPr>
          <w:rFonts w:cstheme="minorHAnsi"/>
        </w:rPr>
        <w:t>April 6 - Consolidated Election</w:t>
      </w:r>
    </w:p>
    <w:p w14:paraId="099FCB73" w14:textId="77777777" w:rsidR="00BE3E74" w:rsidRPr="00BE3E74" w:rsidRDefault="00BE3E74" w:rsidP="00BE3E74">
      <w:pPr>
        <w:pStyle w:val="NoSpacing"/>
        <w:rPr>
          <w:rFonts w:cstheme="minorHAnsi"/>
          <w:sz w:val="24"/>
          <w:szCs w:val="24"/>
        </w:rPr>
      </w:pPr>
      <w:r w:rsidRPr="00BE3E74">
        <w:rPr>
          <w:rFonts w:cstheme="minorHAnsi"/>
        </w:rPr>
        <w:t>April 23 – Deadline: Third Reading Substantive Bills/both chambers</w:t>
      </w:r>
    </w:p>
    <w:p w14:paraId="524CB1B3" w14:textId="77777777" w:rsidR="00BE3E74" w:rsidRPr="00BE3E74" w:rsidRDefault="00BE3E74" w:rsidP="00BE3E74">
      <w:pPr>
        <w:pStyle w:val="NoSpacing"/>
        <w:rPr>
          <w:rFonts w:cstheme="minorHAnsi"/>
          <w:sz w:val="24"/>
          <w:szCs w:val="24"/>
        </w:rPr>
      </w:pPr>
      <w:r w:rsidRPr="00BE3E74">
        <w:rPr>
          <w:rFonts w:cstheme="minorHAnsi"/>
        </w:rPr>
        <w:t>May 14 – Deadline: Substantive Bills out of Committee in opposite chamber/both chambers</w:t>
      </w:r>
    </w:p>
    <w:p w14:paraId="6349FF56" w14:textId="77777777" w:rsidR="00BE3E74" w:rsidRPr="00BE3E74" w:rsidRDefault="00BE3E74" w:rsidP="00BE3E74">
      <w:pPr>
        <w:pStyle w:val="NoSpacing"/>
        <w:rPr>
          <w:rFonts w:cstheme="minorHAnsi"/>
          <w:sz w:val="24"/>
          <w:szCs w:val="24"/>
        </w:rPr>
      </w:pPr>
      <w:r w:rsidRPr="00BE3E74">
        <w:rPr>
          <w:rFonts w:cstheme="minorHAnsi"/>
        </w:rPr>
        <w:t>May 28 – Deadline: Third Reading Substantive Bills/both chambers</w:t>
      </w:r>
    </w:p>
    <w:p w14:paraId="28D561E2" w14:textId="77777777" w:rsidR="00BE3E74" w:rsidRPr="00BE3E74" w:rsidRDefault="00BE3E74" w:rsidP="00BE3E74">
      <w:pPr>
        <w:pStyle w:val="NoSpacing"/>
        <w:rPr>
          <w:rFonts w:cstheme="minorHAnsi"/>
          <w:sz w:val="24"/>
          <w:szCs w:val="24"/>
        </w:rPr>
      </w:pPr>
      <w:r w:rsidRPr="00BE3E74">
        <w:rPr>
          <w:rFonts w:cstheme="minorHAnsi"/>
        </w:rPr>
        <w:t>May 31 - Adjournment</w:t>
      </w:r>
    </w:p>
    <w:p w14:paraId="044DD6CE" w14:textId="77777777" w:rsidR="00095CFA" w:rsidRPr="00BE3E74" w:rsidRDefault="00095CFA">
      <w:pPr>
        <w:rPr>
          <w:rFonts w:cstheme="minorHAnsi"/>
        </w:rPr>
      </w:pPr>
    </w:p>
    <w:sectPr w:rsidR="00095CFA" w:rsidRPr="00BE3E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065757"/>
    <w:multiLevelType w:val="multilevel"/>
    <w:tmpl w:val="C2C0B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D30C2A"/>
    <w:multiLevelType w:val="multilevel"/>
    <w:tmpl w:val="ABEC0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E74"/>
    <w:rsid w:val="00095CFA"/>
    <w:rsid w:val="001F05EF"/>
    <w:rsid w:val="003B3EC8"/>
    <w:rsid w:val="0087238B"/>
    <w:rsid w:val="00BE3E74"/>
    <w:rsid w:val="00E03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2C09D"/>
  <w15:chartTrackingRefBased/>
  <w15:docId w15:val="{266DC11B-F966-46BC-83A9-B88CAC354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E3E74"/>
    <w:pPr>
      <w:spacing w:after="0" w:line="240" w:lineRule="auto"/>
    </w:pPr>
  </w:style>
  <w:style w:type="character" w:styleId="Hyperlink">
    <w:name w:val="Hyperlink"/>
    <w:basedOn w:val="DefaultParagraphFont"/>
    <w:uiPriority w:val="99"/>
    <w:unhideWhenUsed/>
    <w:rsid w:val="003B3EC8"/>
    <w:rPr>
      <w:color w:val="0563C1" w:themeColor="hyperlink"/>
      <w:u w:val="single"/>
    </w:rPr>
  </w:style>
  <w:style w:type="character" w:styleId="UnresolvedMention">
    <w:name w:val="Unresolved Mention"/>
    <w:basedOn w:val="DefaultParagraphFont"/>
    <w:uiPriority w:val="99"/>
    <w:semiHidden/>
    <w:unhideWhenUsed/>
    <w:rsid w:val="003B3E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587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UISuaexYfl-MjCHBno7R6GGt7FGl3_px/view" TargetMode="External"/><Relationship Id="rId3" Type="http://schemas.openxmlformats.org/officeDocument/2006/relationships/settings" Target="settings.xml"/><Relationship Id="rId7" Type="http://schemas.openxmlformats.org/officeDocument/2006/relationships/hyperlink" Target="https://www.illinoisattorneygeneral.gov/pressroom/2021_02/20210204.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2.illinois.gov/Pages/news-item.aspx?ReleaseID=22787" TargetMode="External"/><Relationship Id="rId11" Type="http://schemas.openxmlformats.org/officeDocument/2006/relationships/fontTable" Target="fontTable.xml"/><Relationship Id="rId5" Type="http://schemas.openxmlformats.org/officeDocument/2006/relationships/hyperlink" Target="https://www2.illinois.gov/Pages/Executive-Orders/ExecutiveOrder2021-04.aspx" TargetMode="External"/><Relationship Id="rId10" Type="http://schemas.openxmlformats.org/officeDocument/2006/relationships/hyperlink" Target="https://drive.google.com/file/d/1qwMTkjiQ5zHo4S9kVNlczi-htvg9JzhV/view" TargetMode="External"/><Relationship Id="rId4" Type="http://schemas.openxmlformats.org/officeDocument/2006/relationships/webSettings" Target="webSettings.xml"/><Relationship Id="rId9" Type="http://schemas.openxmlformats.org/officeDocument/2006/relationships/hyperlink" Target="https://cgfa.ilga.gov/Upload/01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1360</Words>
  <Characters>7755</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Lounsberry</dc:creator>
  <cp:keywords/>
  <dc:description/>
  <cp:lastModifiedBy>Evan Manning</cp:lastModifiedBy>
  <cp:revision>2</cp:revision>
  <dcterms:created xsi:type="dcterms:W3CDTF">2021-02-12T15:24:00Z</dcterms:created>
  <dcterms:modified xsi:type="dcterms:W3CDTF">2021-02-12T15:24:00Z</dcterms:modified>
</cp:coreProperties>
</file>