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69BBD" w14:textId="77777777" w:rsidR="00151A5C" w:rsidRPr="00151A5C" w:rsidRDefault="00151A5C" w:rsidP="00151A5C">
      <w:pPr>
        <w:spacing w:after="0" w:line="240" w:lineRule="auto"/>
        <w:rPr>
          <w:rFonts w:eastAsia="Times New Roman" w:cstheme="minorHAnsi"/>
          <w:sz w:val="24"/>
          <w:szCs w:val="24"/>
        </w:rPr>
      </w:pPr>
      <w:r w:rsidRPr="00151A5C">
        <w:rPr>
          <w:rFonts w:eastAsia="Times New Roman" w:cstheme="minorHAnsi"/>
          <w:b/>
          <w:bCs/>
          <w:color w:val="000000"/>
          <w:sz w:val="28"/>
          <w:szCs w:val="28"/>
        </w:rPr>
        <w:t>GOVERNOR’S HIGHLIGHTS:</w:t>
      </w:r>
    </w:p>
    <w:p w14:paraId="565195DF" w14:textId="77777777" w:rsidR="00151A5C" w:rsidRPr="00151A5C" w:rsidRDefault="00151A5C" w:rsidP="00151A5C">
      <w:pPr>
        <w:spacing w:after="0" w:line="240" w:lineRule="auto"/>
        <w:rPr>
          <w:rFonts w:eastAsia="Times New Roman" w:cstheme="minorHAnsi"/>
          <w:sz w:val="24"/>
          <w:szCs w:val="24"/>
        </w:rPr>
      </w:pPr>
      <w:r w:rsidRPr="00151A5C">
        <w:rPr>
          <w:rFonts w:eastAsia="Times New Roman" w:cstheme="minorHAnsi"/>
          <w:color w:val="000000"/>
          <w:sz w:val="24"/>
          <w:szCs w:val="24"/>
        </w:rPr>
        <w:t> </w:t>
      </w:r>
    </w:p>
    <w:p w14:paraId="12EF81A7" w14:textId="70461067" w:rsidR="00151A5C" w:rsidRDefault="00151A5C" w:rsidP="00151A5C">
      <w:pPr>
        <w:spacing w:after="0" w:line="240" w:lineRule="auto"/>
        <w:rPr>
          <w:rFonts w:eastAsia="Times New Roman" w:cstheme="minorHAnsi"/>
          <w:color w:val="000000"/>
        </w:rPr>
      </w:pPr>
      <w:r w:rsidRPr="00151A5C">
        <w:rPr>
          <w:rFonts w:eastAsia="Times New Roman" w:cstheme="minorHAnsi"/>
          <w:b/>
          <w:bCs/>
          <w:color w:val="000000"/>
        </w:rPr>
        <w:t>New Laws:</w:t>
      </w:r>
      <w:r w:rsidRPr="00151A5C">
        <w:rPr>
          <w:rFonts w:eastAsia="Times New Roman" w:cstheme="minorHAnsi"/>
          <w:color w:val="000000"/>
        </w:rPr>
        <w:t xml:space="preserve"> The Governor signed several bills over the course of the last week.  </w:t>
      </w:r>
    </w:p>
    <w:p w14:paraId="4AF03129" w14:textId="77777777" w:rsidR="00151A5C" w:rsidRPr="00151A5C" w:rsidRDefault="00151A5C" w:rsidP="00151A5C">
      <w:pPr>
        <w:spacing w:after="0" w:line="240" w:lineRule="auto"/>
        <w:rPr>
          <w:rFonts w:eastAsia="Times New Roman" w:cstheme="minorHAnsi"/>
          <w:sz w:val="24"/>
          <w:szCs w:val="24"/>
        </w:rPr>
      </w:pPr>
    </w:p>
    <w:p w14:paraId="01AEEC7A" w14:textId="628A575A" w:rsidR="00151A5C" w:rsidRPr="00151A5C" w:rsidRDefault="00151A5C" w:rsidP="00151A5C">
      <w:pPr>
        <w:spacing w:after="0" w:line="240" w:lineRule="auto"/>
        <w:rPr>
          <w:rFonts w:eastAsia="Times New Roman" w:cstheme="minorHAnsi"/>
          <w:sz w:val="24"/>
          <w:szCs w:val="24"/>
        </w:rPr>
      </w:pPr>
      <w:r w:rsidRPr="00151A5C">
        <w:rPr>
          <w:rFonts w:eastAsia="Times New Roman" w:cstheme="minorHAnsi"/>
          <w:color w:val="000000"/>
        </w:rPr>
        <w:t xml:space="preserve">New Public Acts </w:t>
      </w:r>
      <w:r w:rsidRPr="00151A5C">
        <w:rPr>
          <w:rFonts w:eastAsia="Times New Roman" w:cstheme="minorHAnsi"/>
          <w:i/>
          <w:iCs/>
          <w:color w:val="000000"/>
        </w:rPr>
        <w:t>from the 102nd General Assembly: </w:t>
      </w:r>
    </w:p>
    <w:p w14:paraId="2EB2C416" w14:textId="77777777" w:rsidR="00151A5C" w:rsidRPr="00151A5C" w:rsidRDefault="00D8132D" w:rsidP="00151A5C">
      <w:pPr>
        <w:numPr>
          <w:ilvl w:val="0"/>
          <w:numId w:val="1"/>
        </w:numPr>
        <w:spacing w:before="200" w:after="0" w:line="240" w:lineRule="auto"/>
        <w:textAlignment w:val="baseline"/>
        <w:rPr>
          <w:rFonts w:eastAsia="Times New Roman" w:cstheme="minorHAnsi"/>
          <w:color w:val="000000"/>
        </w:rPr>
      </w:pPr>
      <w:hyperlink r:id="rId5" w:history="1">
        <w:r w:rsidR="00151A5C" w:rsidRPr="00151A5C">
          <w:rPr>
            <w:rFonts w:eastAsia="Times New Roman" w:cstheme="minorHAnsi"/>
            <w:color w:val="1155CC"/>
            <w:u w:val="single"/>
          </w:rPr>
          <w:t> PA 102-1</w:t>
        </w:r>
      </w:hyperlink>
      <w:r w:rsidR="00151A5C" w:rsidRPr="00151A5C">
        <w:rPr>
          <w:rFonts w:eastAsia="Times New Roman" w:cstheme="minorHAnsi"/>
          <w:color w:val="000000"/>
        </w:rPr>
        <w:t>  [HB 1871 (Stuart/Morrison)] makes permanent some pandemic-related election law changes enacted specifically for the 2020 election cycle. This includes continued use of drop boxes and curbside voting; the counting of all ballots mailed within appropriate guidelines (even if mailed without postage); and usage of federal HAVA funds for the purchase of drop boxes.</w:t>
      </w:r>
    </w:p>
    <w:p w14:paraId="1B194994" w14:textId="77777777" w:rsidR="00151A5C" w:rsidRPr="00151A5C" w:rsidRDefault="00D8132D" w:rsidP="00151A5C">
      <w:pPr>
        <w:numPr>
          <w:ilvl w:val="0"/>
          <w:numId w:val="1"/>
        </w:numPr>
        <w:spacing w:before="200" w:after="0" w:line="240" w:lineRule="auto"/>
        <w:textAlignment w:val="baseline"/>
        <w:rPr>
          <w:rFonts w:eastAsia="Times New Roman" w:cstheme="minorHAnsi"/>
          <w:color w:val="000000"/>
        </w:rPr>
      </w:pPr>
      <w:hyperlink r:id="rId6" w:history="1">
        <w:r w:rsidR="00151A5C" w:rsidRPr="00151A5C">
          <w:rPr>
            <w:rFonts w:eastAsia="Times New Roman" w:cstheme="minorHAnsi"/>
            <w:color w:val="1155CC"/>
            <w:u w:val="single"/>
          </w:rPr>
          <w:t xml:space="preserve"> PA 102-2  </w:t>
        </w:r>
      </w:hyperlink>
      <w:r w:rsidR="00151A5C" w:rsidRPr="00151A5C">
        <w:rPr>
          <w:rFonts w:eastAsia="Times New Roman" w:cstheme="minorHAnsi"/>
          <w:color w:val="000000"/>
        </w:rPr>
        <w:t>[HB 2415 (Moeller/Castro)] provides an additional window of opportunity for county governments like Kane County to receive taxes from cannabis sales.  </w:t>
      </w:r>
    </w:p>
    <w:p w14:paraId="3428651E" w14:textId="1ED4A19B" w:rsidR="00151A5C" w:rsidRPr="00151A5C" w:rsidRDefault="00D8132D" w:rsidP="00151A5C">
      <w:pPr>
        <w:numPr>
          <w:ilvl w:val="0"/>
          <w:numId w:val="1"/>
        </w:numPr>
        <w:spacing w:before="200" w:after="0" w:line="240" w:lineRule="auto"/>
        <w:textAlignment w:val="baseline"/>
        <w:rPr>
          <w:rFonts w:eastAsia="Times New Roman" w:cstheme="minorHAnsi"/>
          <w:color w:val="000000"/>
        </w:rPr>
      </w:pPr>
      <w:hyperlink r:id="rId7" w:history="1">
        <w:r w:rsidR="00151A5C" w:rsidRPr="00151A5C">
          <w:rPr>
            <w:rFonts w:eastAsia="Times New Roman" w:cstheme="minorHAnsi"/>
            <w:color w:val="1155CC"/>
            <w:u w:val="single"/>
          </w:rPr>
          <w:t>PA 102-3</w:t>
        </w:r>
      </w:hyperlink>
      <w:r w:rsidR="00151A5C" w:rsidRPr="00151A5C">
        <w:rPr>
          <w:rFonts w:eastAsia="Times New Roman" w:cstheme="minorHAnsi"/>
          <w:color w:val="000000"/>
        </w:rPr>
        <w:t xml:space="preserve"> [SB 168 (Harmon/Willis) allows for an expedited process </w:t>
      </w:r>
      <w:r w:rsidR="00E20EBA" w:rsidRPr="00151A5C">
        <w:rPr>
          <w:rFonts w:eastAsia="Times New Roman" w:cstheme="minorHAnsi"/>
          <w:color w:val="000000"/>
        </w:rPr>
        <w:t>for the</w:t>
      </w:r>
      <w:r w:rsidR="00151A5C" w:rsidRPr="00151A5C">
        <w:rPr>
          <w:rFonts w:eastAsia="Times New Roman" w:cstheme="minorHAnsi"/>
          <w:color w:val="000000"/>
        </w:rPr>
        <w:t xml:space="preserve"> reopening of West Lake Hospital in Melrose Park. </w:t>
      </w:r>
    </w:p>
    <w:p w14:paraId="0CBC0C23" w14:textId="77777777" w:rsidR="00151A5C" w:rsidRPr="00151A5C" w:rsidRDefault="00151A5C" w:rsidP="00151A5C">
      <w:pPr>
        <w:spacing w:after="0" w:line="240" w:lineRule="auto"/>
        <w:ind w:left="720"/>
        <w:rPr>
          <w:rFonts w:eastAsia="Times New Roman" w:cstheme="minorHAnsi"/>
          <w:sz w:val="24"/>
          <w:szCs w:val="24"/>
        </w:rPr>
      </w:pPr>
      <w:r w:rsidRPr="00151A5C">
        <w:rPr>
          <w:rFonts w:eastAsia="Times New Roman" w:cstheme="minorHAnsi"/>
          <w:color w:val="000000"/>
        </w:rPr>
        <w:t> </w:t>
      </w:r>
    </w:p>
    <w:p w14:paraId="252A6532" w14:textId="77777777" w:rsidR="00151A5C" w:rsidRPr="00151A5C" w:rsidRDefault="00151A5C" w:rsidP="00151A5C">
      <w:pPr>
        <w:spacing w:after="0" w:line="240" w:lineRule="auto"/>
        <w:rPr>
          <w:rFonts w:eastAsia="Times New Roman" w:cstheme="minorHAnsi"/>
          <w:sz w:val="24"/>
          <w:szCs w:val="24"/>
        </w:rPr>
      </w:pPr>
      <w:r w:rsidRPr="00151A5C">
        <w:rPr>
          <w:rFonts w:eastAsia="Times New Roman" w:cstheme="minorHAnsi"/>
          <w:color w:val="000000"/>
        </w:rPr>
        <w:t xml:space="preserve">New Public Acts </w:t>
      </w:r>
      <w:r w:rsidRPr="00151A5C">
        <w:rPr>
          <w:rFonts w:eastAsia="Times New Roman" w:cstheme="minorHAnsi"/>
          <w:i/>
          <w:iCs/>
          <w:color w:val="000000"/>
        </w:rPr>
        <w:t>from the 101st General Assembly lame duck session:</w:t>
      </w:r>
      <w:r w:rsidRPr="00151A5C">
        <w:rPr>
          <w:rFonts w:eastAsia="Times New Roman" w:cstheme="minorHAnsi"/>
          <w:color w:val="000000"/>
        </w:rPr>
        <w:t> </w:t>
      </w:r>
    </w:p>
    <w:p w14:paraId="6678F7C4" w14:textId="77777777" w:rsidR="00151A5C" w:rsidRPr="00151A5C" w:rsidRDefault="00151A5C" w:rsidP="00151A5C">
      <w:pPr>
        <w:numPr>
          <w:ilvl w:val="0"/>
          <w:numId w:val="2"/>
        </w:numPr>
        <w:spacing w:before="200" w:after="0" w:line="240" w:lineRule="auto"/>
        <w:textAlignment w:val="baseline"/>
        <w:rPr>
          <w:rFonts w:eastAsia="Times New Roman" w:cstheme="minorHAnsi"/>
          <w:color w:val="000000"/>
        </w:rPr>
      </w:pPr>
      <w:r w:rsidRPr="00151A5C">
        <w:rPr>
          <w:rFonts w:eastAsia="Times New Roman" w:cstheme="minorHAnsi"/>
          <w:color w:val="000000"/>
        </w:rPr>
        <w:t> </w:t>
      </w:r>
      <w:hyperlink r:id="rId8" w:history="1">
        <w:r w:rsidRPr="00151A5C">
          <w:rPr>
            <w:rFonts w:eastAsia="Times New Roman" w:cstheme="minorHAnsi"/>
            <w:color w:val="1155CC"/>
            <w:u w:val="single"/>
          </w:rPr>
          <w:t>PA 101-660</w:t>
        </w:r>
      </w:hyperlink>
      <w:r w:rsidRPr="00151A5C">
        <w:rPr>
          <w:rFonts w:eastAsia="Times New Roman" w:cstheme="minorHAnsi"/>
          <w:color w:val="000000"/>
        </w:rPr>
        <w:t xml:space="preserve"> [HB 156 (Zalewski/Jones)] extends the sunset of the Transportation Network Providers Act to June 1, 2021l.</w:t>
      </w:r>
    </w:p>
    <w:p w14:paraId="49C61AC8" w14:textId="77777777" w:rsidR="00151A5C" w:rsidRPr="00151A5C" w:rsidRDefault="00151A5C" w:rsidP="00151A5C">
      <w:pPr>
        <w:numPr>
          <w:ilvl w:val="0"/>
          <w:numId w:val="2"/>
        </w:numPr>
        <w:spacing w:before="200" w:after="0" w:line="240" w:lineRule="auto"/>
        <w:textAlignment w:val="baseline"/>
        <w:rPr>
          <w:rFonts w:eastAsia="Times New Roman" w:cstheme="minorHAnsi"/>
          <w:color w:val="000000"/>
        </w:rPr>
      </w:pPr>
      <w:r w:rsidRPr="00151A5C">
        <w:rPr>
          <w:rFonts w:eastAsia="Times New Roman" w:cstheme="minorHAnsi"/>
          <w:color w:val="000000"/>
        </w:rPr>
        <w:t> </w:t>
      </w:r>
      <w:hyperlink r:id="rId9" w:history="1">
        <w:r w:rsidRPr="00151A5C">
          <w:rPr>
            <w:rFonts w:eastAsia="Times New Roman" w:cstheme="minorHAnsi"/>
            <w:color w:val="1155CC"/>
            <w:u w:val="single"/>
          </w:rPr>
          <w:t>PA 101-661</w:t>
        </w:r>
      </w:hyperlink>
      <w:r w:rsidRPr="00151A5C">
        <w:rPr>
          <w:rFonts w:eastAsia="Times New Roman" w:cstheme="minorHAnsi"/>
          <w:color w:val="000000"/>
        </w:rPr>
        <w:t xml:space="preserve"> [HB 377 (</w:t>
      </w:r>
      <w:proofErr w:type="spellStart"/>
      <w:r w:rsidRPr="00151A5C">
        <w:rPr>
          <w:rFonts w:eastAsia="Times New Roman" w:cstheme="minorHAnsi"/>
          <w:color w:val="000000"/>
        </w:rPr>
        <w:t>Yingling</w:t>
      </w:r>
      <w:proofErr w:type="spellEnd"/>
      <w:r w:rsidRPr="00151A5C">
        <w:rPr>
          <w:rFonts w:eastAsia="Times New Roman" w:cstheme="minorHAnsi"/>
          <w:color w:val="000000"/>
        </w:rPr>
        <w:t>/Bush)] makes changes to the Human Rights Act. </w:t>
      </w:r>
    </w:p>
    <w:p w14:paraId="4FFE38CE" w14:textId="77777777" w:rsidR="00151A5C" w:rsidRPr="00151A5C" w:rsidRDefault="00D8132D" w:rsidP="00151A5C">
      <w:pPr>
        <w:numPr>
          <w:ilvl w:val="0"/>
          <w:numId w:val="2"/>
        </w:numPr>
        <w:spacing w:before="200" w:after="0" w:line="240" w:lineRule="auto"/>
        <w:textAlignment w:val="baseline"/>
        <w:rPr>
          <w:rFonts w:eastAsia="Times New Roman" w:cstheme="minorHAnsi"/>
          <w:color w:val="000000"/>
        </w:rPr>
      </w:pPr>
      <w:hyperlink r:id="rId10" w:history="1">
        <w:r w:rsidR="00151A5C" w:rsidRPr="00151A5C">
          <w:rPr>
            <w:rFonts w:eastAsia="Times New Roman" w:cstheme="minorHAnsi"/>
            <w:color w:val="1155CC"/>
            <w:u w:val="single"/>
          </w:rPr>
          <w:t> PA 101-662</w:t>
        </w:r>
      </w:hyperlink>
      <w:r w:rsidR="00151A5C" w:rsidRPr="00151A5C">
        <w:rPr>
          <w:rFonts w:eastAsia="Times New Roman" w:cstheme="minorHAnsi"/>
          <w:color w:val="000000"/>
        </w:rPr>
        <w:t xml:space="preserve"> [HB 570 (Hoffman/Righter)] contains TIF extensions for the communities of Highwood, Cahokia, Charleston and Flora. </w:t>
      </w:r>
    </w:p>
    <w:p w14:paraId="66D621FB" w14:textId="77777777" w:rsidR="00151A5C" w:rsidRPr="00151A5C" w:rsidRDefault="00151A5C" w:rsidP="00151A5C">
      <w:pPr>
        <w:numPr>
          <w:ilvl w:val="0"/>
          <w:numId w:val="2"/>
        </w:numPr>
        <w:spacing w:before="200" w:after="0" w:line="240" w:lineRule="auto"/>
        <w:textAlignment w:val="baseline"/>
        <w:rPr>
          <w:rFonts w:eastAsia="Times New Roman" w:cstheme="minorHAnsi"/>
          <w:color w:val="000000"/>
        </w:rPr>
      </w:pPr>
      <w:r w:rsidRPr="00151A5C">
        <w:rPr>
          <w:rFonts w:eastAsia="Times New Roman" w:cstheme="minorHAnsi"/>
          <w:color w:val="000000"/>
          <w:sz w:val="14"/>
          <w:szCs w:val="14"/>
        </w:rPr>
        <w:t> </w:t>
      </w:r>
      <w:hyperlink r:id="rId11" w:history="1">
        <w:r w:rsidRPr="00151A5C">
          <w:rPr>
            <w:rFonts w:eastAsia="Times New Roman" w:cstheme="minorHAnsi"/>
            <w:color w:val="1155CC"/>
            <w:u w:val="single"/>
          </w:rPr>
          <w:t>PA 101-664</w:t>
        </w:r>
      </w:hyperlink>
      <w:r w:rsidRPr="00151A5C">
        <w:rPr>
          <w:rFonts w:eastAsia="Times New Roman" w:cstheme="minorHAnsi"/>
          <w:color w:val="000000"/>
        </w:rPr>
        <w:t xml:space="preserve"> [HB 2275 (</w:t>
      </w:r>
      <w:proofErr w:type="spellStart"/>
      <w:r w:rsidRPr="00151A5C">
        <w:rPr>
          <w:rFonts w:eastAsia="Times New Roman" w:cstheme="minorHAnsi"/>
          <w:color w:val="000000"/>
        </w:rPr>
        <w:t>Conyears</w:t>
      </w:r>
      <w:proofErr w:type="spellEnd"/>
      <w:r w:rsidRPr="00151A5C">
        <w:rPr>
          <w:rFonts w:eastAsia="Times New Roman" w:cstheme="minorHAnsi"/>
          <w:color w:val="000000"/>
        </w:rPr>
        <w:t>-Ervin/Cunningham)] allows Chicago teachers to have the same bargaining rights as teachers in the rest of the state. </w:t>
      </w:r>
    </w:p>
    <w:p w14:paraId="3FE290A5" w14:textId="77777777" w:rsidR="00151A5C" w:rsidRPr="00151A5C" w:rsidRDefault="00D8132D" w:rsidP="00151A5C">
      <w:pPr>
        <w:numPr>
          <w:ilvl w:val="0"/>
          <w:numId w:val="2"/>
        </w:numPr>
        <w:spacing w:before="200" w:after="0" w:line="240" w:lineRule="auto"/>
        <w:textAlignment w:val="baseline"/>
        <w:rPr>
          <w:rFonts w:eastAsia="Times New Roman" w:cstheme="minorHAnsi"/>
          <w:color w:val="000000"/>
        </w:rPr>
      </w:pPr>
      <w:hyperlink r:id="rId12" w:history="1">
        <w:r w:rsidR="00151A5C" w:rsidRPr="00151A5C">
          <w:rPr>
            <w:rFonts w:eastAsia="Times New Roman" w:cstheme="minorHAnsi"/>
            <w:color w:val="1155CC"/>
            <w:u w:val="single"/>
          </w:rPr>
          <w:t>PA 101-663</w:t>
        </w:r>
      </w:hyperlink>
      <w:r w:rsidR="00151A5C" w:rsidRPr="00151A5C">
        <w:rPr>
          <w:rFonts w:eastAsia="Times New Roman" w:cstheme="minorHAnsi"/>
          <w:color w:val="000000"/>
        </w:rPr>
        <w:t>  [HB 1559 (Cassidy/Cunningham)] is a trailer measure to the above new law; this Public Act represents an agreement between Chicago Public Schools and the Chicago Teachers Union.  It moves into the permissible subject area of collective bargaining negotiations over the length of the school day and the length of the school year.</w:t>
      </w:r>
    </w:p>
    <w:p w14:paraId="71D3EA72" w14:textId="77777777" w:rsidR="00151A5C" w:rsidRPr="00151A5C" w:rsidRDefault="00D8132D" w:rsidP="00151A5C">
      <w:pPr>
        <w:numPr>
          <w:ilvl w:val="0"/>
          <w:numId w:val="2"/>
        </w:numPr>
        <w:spacing w:before="200" w:after="0" w:line="240" w:lineRule="auto"/>
        <w:textAlignment w:val="baseline"/>
        <w:rPr>
          <w:rFonts w:eastAsia="Times New Roman" w:cstheme="minorHAnsi"/>
          <w:color w:val="000000"/>
        </w:rPr>
      </w:pPr>
      <w:hyperlink r:id="rId13" w:history="1">
        <w:r w:rsidR="00151A5C" w:rsidRPr="00151A5C">
          <w:rPr>
            <w:rFonts w:eastAsia="Times New Roman" w:cstheme="minorHAnsi"/>
            <w:color w:val="1155CC"/>
            <w:u w:val="single"/>
          </w:rPr>
          <w:t>PA  101-673</w:t>
        </w:r>
      </w:hyperlink>
      <w:r w:rsidR="00151A5C" w:rsidRPr="00151A5C">
        <w:rPr>
          <w:rFonts w:eastAsia="Times New Roman" w:cstheme="minorHAnsi"/>
          <w:b/>
          <w:bCs/>
          <w:color w:val="000000"/>
        </w:rPr>
        <w:t xml:space="preserve"> </w:t>
      </w:r>
      <w:r w:rsidR="00151A5C" w:rsidRPr="00151A5C">
        <w:rPr>
          <w:rFonts w:eastAsia="Times New Roman" w:cstheme="minorHAnsi"/>
          <w:color w:val="000000"/>
        </w:rPr>
        <w:t> [HB 2451(Martwick/Martwick)] changes pension benefits for Chicago firefighters.  Removes a birthdate restriction on eligibility at age 55 for a 3% automatic annual increase in retirement annuity that is not subject to a maximum increase of 30%.  Adds calculations of annual increases in retirement annuities of those retiring after September 1, 1967. </w:t>
      </w:r>
    </w:p>
    <w:p w14:paraId="69D615D1" w14:textId="77777777" w:rsidR="00151A5C" w:rsidRPr="00151A5C" w:rsidRDefault="00151A5C" w:rsidP="00151A5C">
      <w:pPr>
        <w:numPr>
          <w:ilvl w:val="0"/>
          <w:numId w:val="2"/>
        </w:numPr>
        <w:spacing w:before="200" w:after="0" w:line="240" w:lineRule="auto"/>
        <w:textAlignment w:val="baseline"/>
        <w:rPr>
          <w:rFonts w:eastAsia="Times New Roman" w:cstheme="minorHAnsi"/>
          <w:color w:val="000000"/>
        </w:rPr>
      </w:pPr>
      <w:r w:rsidRPr="00151A5C">
        <w:rPr>
          <w:rFonts w:eastAsia="Times New Roman" w:cstheme="minorHAnsi"/>
          <w:color w:val="000000"/>
          <w:sz w:val="14"/>
          <w:szCs w:val="14"/>
        </w:rPr>
        <w:t> </w:t>
      </w:r>
      <w:hyperlink r:id="rId14" w:history="1">
        <w:r w:rsidRPr="00151A5C">
          <w:rPr>
            <w:rFonts w:eastAsia="Times New Roman" w:cstheme="minorHAnsi"/>
            <w:color w:val="1155CC"/>
            <w:u w:val="single"/>
          </w:rPr>
          <w:t xml:space="preserve">PA 101-665 </w:t>
        </w:r>
      </w:hyperlink>
      <w:r w:rsidRPr="00151A5C">
        <w:rPr>
          <w:rFonts w:eastAsia="Times New Roman" w:cstheme="minorHAnsi"/>
          <w:color w:val="000000"/>
        </w:rPr>
        <w:t>[HB 2461 (Hoffman/Castro)] is a combination of four bills from Spring 2020 on authorization of state property land transfers.</w:t>
      </w:r>
      <w:r w:rsidRPr="00151A5C">
        <w:rPr>
          <w:rFonts w:eastAsia="Times New Roman" w:cstheme="minorHAnsi"/>
          <w:color w:val="000000"/>
          <w:sz w:val="14"/>
          <w:szCs w:val="14"/>
        </w:rPr>
        <w:t xml:space="preserve">  </w:t>
      </w:r>
      <w:r w:rsidRPr="00151A5C">
        <w:rPr>
          <w:rFonts w:eastAsia="Times New Roman" w:cstheme="minorHAnsi"/>
          <w:color w:val="000000"/>
        </w:rPr>
        <w:t> </w:t>
      </w:r>
    </w:p>
    <w:p w14:paraId="550FDD40" w14:textId="77777777" w:rsidR="00151A5C" w:rsidRPr="00151A5C" w:rsidRDefault="00151A5C" w:rsidP="00151A5C">
      <w:pPr>
        <w:numPr>
          <w:ilvl w:val="0"/>
          <w:numId w:val="2"/>
        </w:numPr>
        <w:spacing w:before="200" w:after="0" w:line="240" w:lineRule="auto"/>
        <w:textAlignment w:val="baseline"/>
        <w:rPr>
          <w:rFonts w:eastAsia="Times New Roman" w:cstheme="minorHAnsi"/>
          <w:color w:val="000000"/>
        </w:rPr>
      </w:pPr>
      <w:r w:rsidRPr="00151A5C">
        <w:rPr>
          <w:rFonts w:eastAsia="Times New Roman" w:cstheme="minorHAnsi"/>
          <w:color w:val="000000"/>
          <w:sz w:val="14"/>
          <w:szCs w:val="14"/>
        </w:rPr>
        <w:t>  </w:t>
      </w:r>
      <w:hyperlink r:id="rId15" w:history="1">
        <w:r w:rsidRPr="00151A5C">
          <w:rPr>
            <w:rFonts w:eastAsia="Times New Roman" w:cstheme="minorHAnsi"/>
            <w:color w:val="1155CC"/>
            <w:u w:val="single"/>
          </w:rPr>
          <w:t>PA 101-666</w:t>
        </w:r>
      </w:hyperlink>
      <w:r w:rsidRPr="00151A5C">
        <w:rPr>
          <w:rFonts w:eastAsia="Times New Roman" w:cstheme="minorHAnsi"/>
          <w:color w:val="000000"/>
        </w:rPr>
        <w:t>  [HB 2488 (Zalewski/Bush)] addresses problems within the prescription drug monitoring program, making changes to allow for third party vendor access to the program.</w:t>
      </w:r>
    </w:p>
    <w:p w14:paraId="5CA7B06C" w14:textId="77777777" w:rsidR="00151A5C" w:rsidRPr="00151A5C" w:rsidRDefault="00D8132D" w:rsidP="00151A5C">
      <w:pPr>
        <w:numPr>
          <w:ilvl w:val="0"/>
          <w:numId w:val="2"/>
        </w:numPr>
        <w:spacing w:before="200" w:after="0" w:line="240" w:lineRule="auto"/>
        <w:textAlignment w:val="baseline"/>
        <w:rPr>
          <w:rFonts w:eastAsia="Times New Roman" w:cstheme="minorHAnsi"/>
          <w:color w:val="000000"/>
        </w:rPr>
      </w:pPr>
      <w:hyperlink r:id="rId16" w:history="1">
        <w:r w:rsidR="00151A5C" w:rsidRPr="00151A5C">
          <w:rPr>
            <w:rFonts w:eastAsia="Times New Roman" w:cstheme="minorHAnsi"/>
            <w:color w:val="1155CC"/>
            <w:sz w:val="14"/>
            <w:szCs w:val="14"/>
            <w:u w:val="single"/>
          </w:rPr>
          <w:t> </w:t>
        </w:r>
        <w:r w:rsidR="00151A5C" w:rsidRPr="00151A5C">
          <w:rPr>
            <w:rFonts w:eastAsia="Times New Roman" w:cstheme="minorHAnsi"/>
            <w:color w:val="1155CC"/>
            <w:u w:val="single"/>
          </w:rPr>
          <w:t>PA 101-667</w:t>
        </w:r>
      </w:hyperlink>
      <w:r w:rsidR="00151A5C" w:rsidRPr="00151A5C">
        <w:rPr>
          <w:rFonts w:eastAsia="Times New Roman" w:cstheme="minorHAnsi"/>
          <w:color w:val="000000"/>
        </w:rPr>
        <w:t>  [HB 3878 (Costa Howard/Ellman)] repeals the Railroad Liquor Act. </w:t>
      </w:r>
    </w:p>
    <w:p w14:paraId="282806B6" w14:textId="77777777" w:rsidR="00151A5C" w:rsidRPr="00151A5C" w:rsidRDefault="00D8132D" w:rsidP="00151A5C">
      <w:pPr>
        <w:numPr>
          <w:ilvl w:val="0"/>
          <w:numId w:val="2"/>
        </w:numPr>
        <w:spacing w:before="200" w:after="0" w:line="240" w:lineRule="auto"/>
        <w:textAlignment w:val="baseline"/>
        <w:rPr>
          <w:rFonts w:eastAsia="Times New Roman" w:cstheme="minorHAnsi"/>
          <w:color w:val="000000"/>
        </w:rPr>
      </w:pPr>
      <w:hyperlink r:id="rId17" w:history="1">
        <w:r w:rsidR="00151A5C" w:rsidRPr="00151A5C">
          <w:rPr>
            <w:rFonts w:eastAsia="Times New Roman" w:cstheme="minorHAnsi"/>
            <w:color w:val="1155CC"/>
            <w:sz w:val="14"/>
            <w:szCs w:val="14"/>
            <w:u w:val="single"/>
          </w:rPr>
          <w:t> </w:t>
        </w:r>
        <w:r w:rsidR="00151A5C" w:rsidRPr="00151A5C">
          <w:rPr>
            <w:rFonts w:eastAsia="Times New Roman" w:cstheme="minorHAnsi"/>
            <w:color w:val="1155CC"/>
            <w:u w:val="single"/>
          </w:rPr>
          <w:t>PA 101-668</w:t>
        </w:r>
      </w:hyperlink>
      <w:r w:rsidR="00151A5C" w:rsidRPr="00151A5C">
        <w:rPr>
          <w:rFonts w:eastAsia="Times New Roman" w:cstheme="minorHAnsi"/>
          <w:color w:val="000000"/>
        </w:rPr>
        <w:t>  [SB 54 (Feigenholtz/Zalewski)] allows retailers to make liquor home deliveries directly to consumers. </w:t>
      </w:r>
    </w:p>
    <w:p w14:paraId="2296480A" w14:textId="77777777" w:rsidR="00151A5C" w:rsidRPr="00151A5C" w:rsidRDefault="00151A5C" w:rsidP="00151A5C">
      <w:pPr>
        <w:numPr>
          <w:ilvl w:val="0"/>
          <w:numId w:val="2"/>
        </w:numPr>
        <w:spacing w:before="200" w:after="0" w:line="240" w:lineRule="auto"/>
        <w:textAlignment w:val="baseline"/>
        <w:rPr>
          <w:rFonts w:eastAsia="Times New Roman" w:cstheme="minorHAnsi"/>
          <w:color w:val="000000"/>
        </w:rPr>
      </w:pPr>
      <w:r w:rsidRPr="00151A5C">
        <w:rPr>
          <w:rFonts w:eastAsia="Times New Roman" w:cstheme="minorHAnsi"/>
          <w:color w:val="000000"/>
          <w:sz w:val="14"/>
          <w:szCs w:val="14"/>
        </w:rPr>
        <w:lastRenderedPageBreak/>
        <w:t> </w:t>
      </w:r>
      <w:hyperlink r:id="rId18" w:history="1">
        <w:r w:rsidRPr="00151A5C">
          <w:rPr>
            <w:rFonts w:eastAsia="Times New Roman" w:cstheme="minorHAnsi"/>
            <w:color w:val="1155CC"/>
            <w:u w:val="single"/>
          </w:rPr>
          <w:t>PA 101-669</w:t>
        </w:r>
      </w:hyperlink>
      <w:r w:rsidRPr="00151A5C">
        <w:rPr>
          <w:rFonts w:eastAsia="Times New Roman" w:cstheme="minorHAnsi"/>
          <w:color w:val="000000"/>
        </w:rPr>
        <w:t xml:space="preserve"> [SB 1530 (Belt/Harris) grandfathers in a safety net designation for Gateway Medical Center in Granite City.  </w:t>
      </w:r>
    </w:p>
    <w:p w14:paraId="7A566BE4" w14:textId="77777777" w:rsidR="00151A5C" w:rsidRPr="00151A5C" w:rsidRDefault="00D8132D" w:rsidP="00151A5C">
      <w:pPr>
        <w:numPr>
          <w:ilvl w:val="0"/>
          <w:numId w:val="2"/>
        </w:numPr>
        <w:spacing w:before="200" w:after="0" w:line="240" w:lineRule="auto"/>
        <w:textAlignment w:val="baseline"/>
        <w:rPr>
          <w:rFonts w:eastAsia="Times New Roman" w:cstheme="minorHAnsi"/>
          <w:color w:val="000000"/>
        </w:rPr>
      </w:pPr>
      <w:hyperlink r:id="rId19" w:history="1">
        <w:r w:rsidR="00151A5C" w:rsidRPr="00151A5C">
          <w:rPr>
            <w:rFonts w:eastAsia="Times New Roman" w:cstheme="minorHAnsi"/>
            <w:color w:val="1155CC"/>
            <w:sz w:val="14"/>
            <w:szCs w:val="14"/>
            <w:u w:val="single"/>
          </w:rPr>
          <w:t> </w:t>
        </w:r>
        <w:r w:rsidR="00151A5C" w:rsidRPr="00151A5C">
          <w:rPr>
            <w:rFonts w:eastAsia="Times New Roman" w:cstheme="minorHAnsi"/>
            <w:color w:val="1155CC"/>
            <w:u w:val="single"/>
          </w:rPr>
          <w:t>PA 101-670</w:t>
        </w:r>
      </w:hyperlink>
      <w:r w:rsidR="00151A5C" w:rsidRPr="00151A5C">
        <w:rPr>
          <w:rFonts w:eastAsia="Times New Roman" w:cstheme="minorHAnsi"/>
          <w:color w:val="000000"/>
        </w:rPr>
        <w:t xml:space="preserve"> [SB 1805 (Castro/Evans)] authorizes transfer of funds to the MWRD pension fund.</w:t>
      </w:r>
    </w:p>
    <w:p w14:paraId="6075F5E0" w14:textId="77777777" w:rsidR="00151A5C" w:rsidRPr="00151A5C" w:rsidRDefault="00D8132D" w:rsidP="00151A5C">
      <w:pPr>
        <w:numPr>
          <w:ilvl w:val="0"/>
          <w:numId w:val="2"/>
        </w:numPr>
        <w:spacing w:before="200" w:after="0" w:line="240" w:lineRule="auto"/>
        <w:textAlignment w:val="baseline"/>
        <w:rPr>
          <w:rFonts w:eastAsia="Times New Roman" w:cstheme="minorHAnsi"/>
          <w:color w:val="000000"/>
        </w:rPr>
      </w:pPr>
      <w:hyperlink r:id="rId20" w:history="1">
        <w:r w:rsidR="00151A5C" w:rsidRPr="00151A5C">
          <w:rPr>
            <w:rFonts w:eastAsia="Times New Roman" w:cstheme="minorHAnsi"/>
            <w:color w:val="1155CC"/>
            <w:sz w:val="14"/>
            <w:szCs w:val="14"/>
            <w:u w:val="single"/>
          </w:rPr>
          <w:t> </w:t>
        </w:r>
        <w:r w:rsidR="00151A5C" w:rsidRPr="00151A5C">
          <w:rPr>
            <w:rFonts w:eastAsia="Times New Roman" w:cstheme="minorHAnsi"/>
            <w:color w:val="1155CC"/>
            <w:u w:val="single"/>
          </w:rPr>
          <w:t>PA 101-671</w:t>
        </w:r>
      </w:hyperlink>
      <w:r w:rsidR="00151A5C" w:rsidRPr="00151A5C">
        <w:rPr>
          <w:rFonts w:eastAsia="Times New Roman" w:cstheme="minorHAnsi"/>
          <w:color w:val="000000"/>
        </w:rPr>
        <w:t xml:space="preserve"> [SB 2527 (Van Pelt/Collins)] authorizes DCFS to transfer property to the Carole Robertson Center for Learning.</w:t>
      </w:r>
    </w:p>
    <w:p w14:paraId="28666985" w14:textId="77777777" w:rsidR="00151A5C" w:rsidRPr="00151A5C" w:rsidRDefault="00151A5C" w:rsidP="00151A5C">
      <w:pPr>
        <w:numPr>
          <w:ilvl w:val="0"/>
          <w:numId w:val="2"/>
        </w:numPr>
        <w:spacing w:before="200" w:after="0" w:line="240" w:lineRule="auto"/>
        <w:textAlignment w:val="baseline"/>
        <w:rPr>
          <w:rFonts w:eastAsia="Times New Roman" w:cstheme="minorHAnsi"/>
          <w:color w:val="000000"/>
        </w:rPr>
      </w:pPr>
      <w:r w:rsidRPr="00151A5C">
        <w:rPr>
          <w:rFonts w:eastAsia="Times New Roman" w:cstheme="minorHAnsi"/>
          <w:color w:val="000000"/>
          <w:sz w:val="14"/>
          <w:szCs w:val="14"/>
        </w:rPr>
        <w:t>  </w:t>
      </w:r>
      <w:hyperlink r:id="rId21" w:history="1">
        <w:r w:rsidRPr="00151A5C">
          <w:rPr>
            <w:rFonts w:eastAsia="Times New Roman" w:cstheme="minorHAnsi"/>
            <w:color w:val="1155CC"/>
            <w:sz w:val="14"/>
            <w:szCs w:val="14"/>
            <w:u w:val="single"/>
          </w:rPr>
          <w:t> </w:t>
        </w:r>
        <w:r w:rsidRPr="00151A5C">
          <w:rPr>
            <w:rFonts w:eastAsia="Times New Roman" w:cstheme="minorHAnsi"/>
            <w:color w:val="1155CC"/>
            <w:u w:val="single"/>
          </w:rPr>
          <w:t>PA 101-672</w:t>
        </w:r>
      </w:hyperlink>
      <w:r w:rsidRPr="00151A5C">
        <w:rPr>
          <w:rFonts w:eastAsia="Times New Roman" w:cstheme="minorHAnsi"/>
          <w:color w:val="000000"/>
        </w:rPr>
        <w:t xml:space="preserve"> [SB 2779 (Holmes/Hernandez)] addresses the nomination signatures needed for candidacy to the Fox Valley Park District.</w:t>
      </w:r>
    </w:p>
    <w:p w14:paraId="7BEAD04E" w14:textId="77777777" w:rsidR="00151A5C" w:rsidRPr="00151A5C" w:rsidRDefault="00151A5C" w:rsidP="00151A5C">
      <w:pPr>
        <w:spacing w:after="0" w:line="240" w:lineRule="auto"/>
        <w:rPr>
          <w:rFonts w:eastAsia="Times New Roman" w:cstheme="minorHAnsi"/>
          <w:sz w:val="24"/>
          <w:szCs w:val="24"/>
        </w:rPr>
      </w:pPr>
      <w:r w:rsidRPr="00151A5C">
        <w:rPr>
          <w:rFonts w:eastAsia="Times New Roman" w:cstheme="minorHAnsi"/>
          <w:color w:val="000000"/>
        </w:rPr>
        <w:t> </w:t>
      </w:r>
    </w:p>
    <w:p w14:paraId="7A463AFE" w14:textId="7777777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b/>
          <w:bCs/>
          <w:color w:val="000000"/>
        </w:rPr>
        <w:t>COVID 19 Update:</w:t>
      </w:r>
      <w:r w:rsidRPr="00151A5C">
        <w:rPr>
          <w:rFonts w:eastAsia="Times New Roman" w:cstheme="minorHAnsi"/>
          <w:color w:val="000000"/>
        </w:rPr>
        <w:t xml:space="preserve"> Illinois’ COVID metrics continue trending upward as health officials warn of a fourth surge of the deadly virus.  Illinois’ positivity rate swelled this week to 4.2% with the test positivity rate growing to 4.8%.  Plans to ease further restrictions remain on hold. </w:t>
      </w:r>
    </w:p>
    <w:p w14:paraId="73520972" w14:textId="7777777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color w:val="000000"/>
        </w:rPr>
        <w:t>On Thursday, the Illinois Department of Public Health reported 3,739 new cases of COVID-19, including 34 additional deaths. As of Wednesday night, 1,798 individuals in Illinois were reported to be in the hospital with COVID-19. Of those, 351 patients were in the ICU and 151 patients with COVID-19 were on ventilators.</w:t>
      </w:r>
    </w:p>
    <w:p w14:paraId="2D415F43" w14:textId="7777777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b/>
          <w:bCs/>
          <w:color w:val="000000"/>
        </w:rPr>
        <w:t xml:space="preserve">Vaccine Update:  </w:t>
      </w:r>
      <w:r w:rsidRPr="00151A5C">
        <w:rPr>
          <w:rFonts w:eastAsia="Times New Roman" w:cstheme="minorHAnsi"/>
          <w:color w:val="000000"/>
        </w:rPr>
        <w:t>As of Wednesday, over 2.5 million, or 19.6 percent, of the state’s 12.7 million residents are fully vaccinated.  Beginning Monday, any resident over the age of 16 is eligible for the vaccine.   </w:t>
      </w:r>
    </w:p>
    <w:p w14:paraId="3FF06921" w14:textId="1E1271B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color w:val="000000"/>
        </w:rPr>
        <w:t xml:space="preserve">As of </w:t>
      </w:r>
      <w:r w:rsidR="00E20EBA" w:rsidRPr="00151A5C">
        <w:rPr>
          <w:rFonts w:eastAsia="Times New Roman" w:cstheme="minorHAnsi"/>
          <w:color w:val="000000"/>
        </w:rPr>
        <w:t>Thursday, 6,707,183</w:t>
      </w:r>
      <w:r w:rsidRPr="00151A5C">
        <w:rPr>
          <w:rFonts w:eastAsia="Times New Roman" w:cstheme="minorHAnsi"/>
          <w:color w:val="000000"/>
        </w:rPr>
        <w:t xml:space="preserve"> doses of the COVID-19 vaccine have been administered in Illinois.  Illinois is averaging administering 112,680 doses of vaccine/day.  Wednesday, a record 154,201 doses were administered in Illinois. </w:t>
      </w:r>
    </w:p>
    <w:p w14:paraId="04FDDE06" w14:textId="7777777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b/>
          <w:bCs/>
          <w:color w:val="000000"/>
        </w:rPr>
        <w:t>Executive Orders:</w:t>
      </w:r>
      <w:r w:rsidRPr="00151A5C">
        <w:rPr>
          <w:rFonts w:eastAsia="Times New Roman" w:cstheme="minorHAnsi"/>
          <w:color w:val="000000"/>
        </w:rPr>
        <w:t xml:space="preserve">  </w:t>
      </w:r>
      <w:hyperlink r:id="rId22" w:history="1">
        <w:r w:rsidRPr="00151A5C">
          <w:rPr>
            <w:rFonts w:eastAsia="Times New Roman" w:cstheme="minorHAnsi"/>
            <w:color w:val="1155CC"/>
            <w:u w:val="single"/>
          </w:rPr>
          <w:t>Executive Order 2021-06</w:t>
        </w:r>
      </w:hyperlink>
      <w:r w:rsidRPr="00151A5C">
        <w:rPr>
          <w:rFonts w:eastAsia="Times New Roman" w:cstheme="minorHAnsi"/>
          <w:color w:val="000000"/>
        </w:rPr>
        <w:t>  reissues most executive orders, extending a majority of the provisions through May 1, 2021. Note, the suspension of in-person sports betting registration requirements were not renewed in the latest Executive Order.  </w:t>
      </w:r>
    </w:p>
    <w:p w14:paraId="1A3B4727" w14:textId="7777777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b/>
          <w:bCs/>
          <w:color w:val="000000"/>
        </w:rPr>
        <w:t>Illinois State Board of Elections</w:t>
      </w:r>
      <w:r w:rsidRPr="00151A5C">
        <w:rPr>
          <w:rFonts w:eastAsia="Times New Roman" w:cstheme="minorHAnsi"/>
          <w:color w:val="000000"/>
        </w:rPr>
        <w:t xml:space="preserve">: The Illinois State Board of Elections voted unanimously to place executive director Steve </w:t>
      </w:r>
      <w:proofErr w:type="spellStart"/>
      <w:r w:rsidRPr="00151A5C">
        <w:rPr>
          <w:rFonts w:eastAsia="Times New Roman" w:cstheme="minorHAnsi"/>
          <w:color w:val="000000"/>
        </w:rPr>
        <w:t>Sandvoss</w:t>
      </w:r>
      <w:proofErr w:type="spellEnd"/>
      <w:r w:rsidRPr="00151A5C">
        <w:rPr>
          <w:rFonts w:eastAsia="Times New Roman" w:cstheme="minorHAnsi"/>
          <w:color w:val="000000"/>
        </w:rPr>
        <w:t xml:space="preserve"> on leave after being the subject of an online extortion attempt.  Assistant Executive Director Bernadette Matthews is serving as interim director while </w:t>
      </w:r>
      <w:proofErr w:type="spellStart"/>
      <w:r w:rsidRPr="00151A5C">
        <w:rPr>
          <w:rFonts w:eastAsia="Times New Roman" w:cstheme="minorHAnsi"/>
          <w:color w:val="000000"/>
        </w:rPr>
        <w:t>Sandvoss</w:t>
      </w:r>
      <w:proofErr w:type="spellEnd"/>
      <w:r w:rsidRPr="00151A5C">
        <w:rPr>
          <w:rFonts w:eastAsia="Times New Roman" w:cstheme="minorHAnsi"/>
          <w:color w:val="000000"/>
        </w:rPr>
        <w:t xml:space="preserve"> is on leave.</w:t>
      </w:r>
    </w:p>
    <w:p w14:paraId="6F2554C5" w14:textId="77777777" w:rsidR="00151A5C" w:rsidRPr="00151A5C" w:rsidRDefault="00151A5C" w:rsidP="00151A5C">
      <w:pPr>
        <w:spacing w:after="0" w:line="240" w:lineRule="auto"/>
        <w:rPr>
          <w:rFonts w:eastAsia="Times New Roman" w:cstheme="minorHAnsi"/>
          <w:sz w:val="24"/>
          <w:szCs w:val="24"/>
        </w:rPr>
      </w:pPr>
      <w:r w:rsidRPr="00151A5C">
        <w:rPr>
          <w:rFonts w:eastAsia="Times New Roman" w:cstheme="minorHAnsi"/>
          <w:b/>
          <w:bCs/>
          <w:color w:val="000000"/>
        </w:rPr>
        <w:t xml:space="preserve">November 2022 Election:  </w:t>
      </w:r>
      <w:r w:rsidRPr="00151A5C">
        <w:rPr>
          <w:rFonts w:eastAsia="Times New Roman" w:cstheme="minorHAnsi"/>
          <w:color w:val="000000"/>
        </w:rPr>
        <w:t xml:space="preserve">Chicago Alderman Pat Dowell announced she will seek the Democratic nomination for Secretary of State in 2022.  The 63-year-old – who has served as an alderman since 2007 – represents the 3rd Ward, which encompasses the South Loop and </w:t>
      </w:r>
      <w:proofErr w:type="spellStart"/>
      <w:r w:rsidRPr="00151A5C">
        <w:rPr>
          <w:rFonts w:eastAsia="Times New Roman" w:cstheme="minorHAnsi"/>
          <w:color w:val="000000"/>
        </w:rPr>
        <w:t>Bronzeville</w:t>
      </w:r>
      <w:proofErr w:type="spellEnd"/>
      <w:r w:rsidRPr="00151A5C">
        <w:rPr>
          <w:rFonts w:eastAsia="Times New Roman" w:cstheme="minorHAnsi"/>
          <w:color w:val="000000"/>
        </w:rPr>
        <w:t>. </w:t>
      </w:r>
    </w:p>
    <w:p w14:paraId="0631ECDA" w14:textId="77777777" w:rsidR="00151A5C" w:rsidRPr="00151A5C" w:rsidRDefault="00151A5C" w:rsidP="00151A5C">
      <w:pPr>
        <w:spacing w:after="0" w:line="240" w:lineRule="auto"/>
        <w:rPr>
          <w:rFonts w:eastAsia="Times New Roman" w:cstheme="minorHAnsi"/>
          <w:sz w:val="24"/>
          <w:szCs w:val="24"/>
        </w:rPr>
      </w:pPr>
    </w:p>
    <w:p w14:paraId="44580E3C" w14:textId="7777777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b/>
          <w:bCs/>
          <w:color w:val="000000"/>
          <w:sz w:val="28"/>
          <w:szCs w:val="28"/>
        </w:rPr>
        <w:t>102ND GENERAL ASSEMBLY:</w:t>
      </w:r>
    </w:p>
    <w:p w14:paraId="0126DFA1" w14:textId="7777777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color w:val="000000"/>
        </w:rPr>
        <w:t>The Illinois General Assembly is concluding its two-week spring break.  </w:t>
      </w:r>
    </w:p>
    <w:p w14:paraId="4B5DD012" w14:textId="03777C8B"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color w:val="000000"/>
        </w:rPr>
        <w:t>The House extended the committee deadline on 19 House Bills.  The remaining House Bills that did not pass at the committee level have been reassigned back to the House Rules Committee.  </w:t>
      </w:r>
    </w:p>
    <w:p w14:paraId="69041F4D" w14:textId="7777777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color w:val="000000"/>
        </w:rPr>
        <w:t xml:space="preserve">Representative Harris filed an amendment to the Prior Authorization Reform Act, </w:t>
      </w:r>
      <w:hyperlink r:id="rId23" w:history="1">
        <w:r w:rsidRPr="00151A5C">
          <w:rPr>
            <w:rFonts w:eastAsia="Times New Roman" w:cstheme="minorHAnsi"/>
            <w:color w:val="1155CC"/>
            <w:u w:val="single"/>
          </w:rPr>
          <w:t>HB 711</w:t>
        </w:r>
      </w:hyperlink>
      <w:r w:rsidRPr="00151A5C">
        <w:rPr>
          <w:rFonts w:eastAsia="Times New Roman" w:cstheme="minorHAnsi"/>
          <w:color w:val="000000"/>
        </w:rPr>
        <w:t xml:space="preserve">.  A summary of the amendment is </w:t>
      </w:r>
      <w:hyperlink r:id="rId24" w:history="1">
        <w:r w:rsidRPr="00151A5C">
          <w:rPr>
            <w:rFonts w:eastAsia="Times New Roman" w:cstheme="minorHAnsi"/>
            <w:color w:val="1155CC"/>
            <w:u w:val="single"/>
          </w:rPr>
          <w:t>here.</w:t>
        </w:r>
      </w:hyperlink>
      <w:r w:rsidRPr="00151A5C">
        <w:rPr>
          <w:rFonts w:eastAsia="Times New Roman" w:cstheme="minorHAnsi"/>
          <w:color w:val="000000"/>
        </w:rPr>
        <w:t xml:space="preserve"> The amendment is assigned to the House Rules Committee.</w:t>
      </w:r>
    </w:p>
    <w:p w14:paraId="5E31AD54" w14:textId="7777777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color w:val="000000"/>
        </w:rPr>
        <w:lastRenderedPageBreak/>
        <w:t xml:space="preserve">Senator Villa filed Senate Committee amendment #1 to </w:t>
      </w:r>
      <w:hyperlink r:id="rId25" w:history="1">
        <w:r w:rsidRPr="00151A5C">
          <w:rPr>
            <w:rFonts w:eastAsia="Times New Roman" w:cstheme="minorHAnsi"/>
            <w:color w:val="1155CC"/>
            <w:u w:val="single"/>
          </w:rPr>
          <w:t>SB 516</w:t>
        </w:r>
      </w:hyperlink>
      <w:r w:rsidRPr="00151A5C">
        <w:rPr>
          <w:rFonts w:eastAsia="Times New Roman" w:cstheme="minorHAnsi"/>
          <w:color w:val="000000"/>
        </w:rPr>
        <w:t xml:space="preserve">, which creates the Illinois Drug Reuse Opportunity Program Act. A summary of the amendment is </w:t>
      </w:r>
      <w:hyperlink r:id="rId26" w:history="1">
        <w:r w:rsidRPr="00151A5C">
          <w:rPr>
            <w:rFonts w:eastAsia="Times New Roman" w:cstheme="minorHAnsi"/>
            <w:color w:val="1155CC"/>
            <w:u w:val="single"/>
          </w:rPr>
          <w:t>here.</w:t>
        </w:r>
      </w:hyperlink>
      <w:r w:rsidRPr="00151A5C">
        <w:rPr>
          <w:rFonts w:eastAsia="Times New Roman" w:cstheme="minorHAnsi"/>
          <w:color w:val="000000"/>
        </w:rPr>
        <w:t xml:space="preserve"> The amendment is pending in the Senate Assignments Committee.</w:t>
      </w:r>
    </w:p>
    <w:p w14:paraId="32D35FFC" w14:textId="77777777" w:rsidR="00151A5C" w:rsidRPr="00151A5C" w:rsidRDefault="00151A5C" w:rsidP="00151A5C">
      <w:pPr>
        <w:spacing w:after="0" w:line="240" w:lineRule="auto"/>
        <w:rPr>
          <w:rFonts w:eastAsia="Times New Roman" w:cstheme="minorHAnsi"/>
          <w:sz w:val="24"/>
          <w:szCs w:val="24"/>
        </w:rPr>
      </w:pPr>
      <w:r w:rsidRPr="00151A5C">
        <w:rPr>
          <w:rFonts w:eastAsia="Times New Roman" w:cstheme="minorHAnsi"/>
          <w:color w:val="000000"/>
        </w:rPr>
        <w:t xml:space="preserve">Senator Tom Cullerton filed an amendment to </w:t>
      </w:r>
      <w:hyperlink r:id="rId27" w:history="1">
        <w:r w:rsidRPr="00151A5C">
          <w:rPr>
            <w:rFonts w:eastAsia="Times New Roman" w:cstheme="minorHAnsi"/>
            <w:color w:val="1155CC"/>
            <w:u w:val="single"/>
          </w:rPr>
          <w:t>SB 731</w:t>
        </w:r>
      </w:hyperlink>
      <w:r w:rsidRPr="00151A5C">
        <w:rPr>
          <w:rFonts w:eastAsia="Times New Roman" w:cstheme="minorHAnsi"/>
          <w:color w:val="000000"/>
        </w:rPr>
        <w:t>  to create the Data Transparency and Privacy Act. The measure requires any business that processes personal or de identified information must – prior to processing – notify the consumer who owns or is referenced in the data (using a service agreement, or through ready access via the business website or mobile application). In addition, consumers:  have a “right to know” about the types of information that they can request from business; can opt out of agreements involving the sale of personal information to third parties and affiliates; and can request that inaccurate personal info be corrected/deleted by a business. Further, the legislation prescribes a protocol for businesses to use not only in handling consumer requests but also in pricing incentives and prohibitions against discrimination. Businesses, affiliates, and third parties must conduct risk assessments, and enforcement of this Act can come through private actions or the Attorney General. The amendment is pending in the Senate Assignments Committee. </w:t>
      </w:r>
    </w:p>
    <w:p w14:paraId="721612AC" w14:textId="77777777" w:rsidR="00151A5C" w:rsidRPr="00151A5C" w:rsidRDefault="00151A5C" w:rsidP="00151A5C">
      <w:pPr>
        <w:spacing w:after="0" w:line="240" w:lineRule="auto"/>
        <w:rPr>
          <w:rFonts w:eastAsia="Times New Roman" w:cstheme="minorHAnsi"/>
          <w:sz w:val="24"/>
          <w:szCs w:val="24"/>
        </w:rPr>
      </w:pPr>
    </w:p>
    <w:p w14:paraId="53D73F4D" w14:textId="7777777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color w:val="000000"/>
        </w:rPr>
        <w:t xml:space="preserve">Senator Hastings filed a floor amendment to </w:t>
      </w:r>
      <w:hyperlink r:id="rId28" w:history="1">
        <w:r w:rsidRPr="00151A5C">
          <w:rPr>
            <w:rFonts w:eastAsia="Times New Roman" w:cstheme="minorHAnsi"/>
            <w:color w:val="1155CC"/>
            <w:u w:val="single"/>
          </w:rPr>
          <w:t>SB 1166</w:t>
        </w:r>
      </w:hyperlink>
      <w:r w:rsidRPr="00151A5C">
        <w:rPr>
          <w:rFonts w:eastAsia="Times New Roman" w:cstheme="minorHAnsi"/>
          <w:color w:val="000000"/>
        </w:rPr>
        <w:t xml:space="preserve"> which Creates the Investing in Illinois Works Tax Credit Act and the Illinois Hazardous Workforce Materials Training Act. The amendment is pending in the Senate Assignments Committee. </w:t>
      </w:r>
    </w:p>
    <w:p w14:paraId="03A45FB1" w14:textId="7777777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color w:val="000000"/>
        </w:rPr>
        <w:t>Cyril Nichols, the associate athletic director for the City Colleges, was selected to represent the 32nd House District, replacing former State Representative Andre Thapedi who resigned last month. </w:t>
      </w:r>
    </w:p>
    <w:p w14:paraId="53F7C04C" w14:textId="7777777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color w:val="000000"/>
        </w:rPr>
        <w:t>In Tuesday's consolidation election, Democratic State Representative Kelly Burke was elected mayor of Evergreen Park and Democratic State Representative Thaddeus Jones was election mayor of Calumet City.  Both will continue to serve in the state legislature while also holding local elected office. </w:t>
      </w:r>
    </w:p>
    <w:p w14:paraId="629909E2" w14:textId="0DB7DD23" w:rsidR="00151A5C" w:rsidRPr="00151A5C" w:rsidRDefault="00151A5C" w:rsidP="00151A5C">
      <w:pPr>
        <w:spacing w:after="360" w:line="240" w:lineRule="auto"/>
        <w:rPr>
          <w:rFonts w:eastAsia="Times New Roman" w:cstheme="minorHAnsi"/>
          <w:sz w:val="24"/>
          <w:szCs w:val="24"/>
        </w:rPr>
      </w:pPr>
      <w:r w:rsidRPr="00151A5C">
        <w:rPr>
          <w:rFonts w:eastAsia="Times New Roman" w:cstheme="minorHAnsi"/>
          <w:color w:val="000000"/>
        </w:rPr>
        <w:t>Sean Anderson</w:t>
      </w:r>
      <w:r w:rsidRPr="00151A5C">
        <w:rPr>
          <w:rFonts w:eastAsia="Times New Roman" w:cstheme="minorHAnsi"/>
          <w:b/>
          <w:bCs/>
          <w:color w:val="000000"/>
        </w:rPr>
        <w:t xml:space="preserve"> </w:t>
      </w:r>
      <w:r w:rsidRPr="00151A5C">
        <w:rPr>
          <w:rFonts w:eastAsia="Times New Roman" w:cstheme="minorHAnsi"/>
          <w:color w:val="000000"/>
        </w:rPr>
        <w:t xml:space="preserve">was named communications director for Speaker Welch. He previously served as a principal at </w:t>
      </w:r>
      <w:proofErr w:type="spellStart"/>
      <w:r w:rsidRPr="00151A5C">
        <w:rPr>
          <w:rFonts w:eastAsia="Times New Roman" w:cstheme="minorHAnsi"/>
          <w:color w:val="000000"/>
        </w:rPr>
        <w:t>Kivvit</w:t>
      </w:r>
      <w:proofErr w:type="spellEnd"/>
      <w:r w:rsidRPr="00151A5C">
        <w:rPr>
          <w:rFonts w:eastAsia="Times New Roman" w:cstheme="minorHAnsi"/>
          <w:color w:val="000000"/>
        </w:rPr>
        <w:t>, leading the design and development of communications and public affairs strategies. Jaclyn Driscoll will serve as the Speaker’s press spokesperson. Driscoll comes from a radio broadcasting background as a statehouse reporter.  </w:t>
      </w:r>
    </w:p>
    <w:p w14:paraId="241D20FC" w14:textId="7777777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b/>
          <w:bCs/>
          <w:color w:val="000000"/>
          <w:sz w:val="28"/>
          <w:szCs w:val="28"/>
        </w:rPr>
        <w:t>COMING UP:</w:t>
      </w:r>
    </w:p>
    <w:p w14:paraId="0C871D05" w14:textId="7777777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color w:val="000000"/>
        </w:rPr>
        <w:t>The Illinois General Assembly returns to in-person session on Tuesday, April 13th at noon.  Both chambers are scheduled to be in session weekly until the May 31st adjournment deadline. </w:t>
      </w:r>
    </w:p>
    <w:p w14:paraId="36710882" w14:textId="77777777" w:rsidR="00151A5C" w:rsidRPr="00151A5C" w:rsidRDefault="00151A5C" w:rsidP="00151A5C">
      <w:pPr>
        <w:spacing w:after="240" w:line="240" w:lineRule="auto"/>
        <w:rPr>
          <w:rFonts w:eastAsia="Times New Roman" w:cstheme="minorHAnsi"/>
          <w:sz w:val="24"/>
          <w:szCs w:val="24"/>
        </w:rPr>
      </w:pPr>
      <w:r w:rsidRPr="00151A5C">
        <w:rPr>
          <w:rFonts w:eastAsia="Times New Roman" w:cstheme="minorHAnsi"/>
          <w:color w:val="000000"/>
        </w:rPr>
        <w:t>The deadline to pass substantive senate bills out of Senate committees is Friday, April 16th. </w:t>
      </w:r>
    </w:p>
    <w:p w14:paraId="296025D7" w14:textId="77777777" w:rsidR="00151A5C" w:rsidRPr="00151A5C" w:rsidRDefault="00151A5C" w:rsidP="00151A5C">
      <w:pPr>
        <w:spacing w:after="0" w:line="240" w:lineRule="auto"/>
        <w:rPr>
          <w:rFonts w:eastAsia="Times New Roman" w:cstheme="minorHAnsi"/>
          <w:sz w:val="24"/>
          <w:szCs w:val="24"/>
        </w:rPr>
      </w:pPr>
      <w:r w:rsidRPr="00151A5C">
        <w:rPr>
          <w:rFonts w:eastAsia="Times New Roman" w:cstheme="minorHAnsi"/>
          <w:b/>
          <w:bCs/>
          <w:color w:val="000000"/>
          <w:u w:val="single"/>
        </w:rPr>
        <w:t>2021 Key Session Dates:</w:t>
      </w:r>
    </w:p>
    <w:p w14:paraId="68986EF0" w14:textId="77777777" w:rsidR="00151A5C" w:rsidRPr="00151A5C" w:rsidRDefault="00151A5C" w:rsidP="00151A5C">
      <w:pPr>
        <w:spacing w:after="0" w:line="240" w:lineRule="auto"/>
        <w:rPr>
          <w:rFonts w:eastAsia="Times New Roman" w:cstheme="minorHAnsi"/>
          <w:sz w:val="24"/>
          <w:szCs w:val="24"/>
        </w:rPr>
      </w:pPr>
      <w:r w:rsidRPr="00151A5C">
        <w:rPr>
          <w:rFonts w:eastAsia="Times New Roman" w:cstheme="minorHAnsi"/>
          <w:color w:val="000000"/>
        </w:rPr>
        <w:t>April 16 - Deadline:  Substantive Senate Bills out of Senate Committees</w:t>
      </w:r>
    </w:p>
    <w:p w14:paraId="3AE4D21E" w14:textId="77777777" w:rsidR="00151A5C" w:rsidRPr="00151A5C" w:rsidRDefault="00151A5C" w:rsidP="00151A5C">
      <w:pPr>
        <w:spacing w:after="0" w:line="240" w:lineRule="auto"/>
        <w:rPr>
          <w:rFonts w:eastAsia="Times New Roman" w:cstheme="minorHAnsi"/>
          <w:sz w:val="24"/>
          <w:szCs w:val="24"/>
        </w:rPr>
      </w:pPr>
      <w:r w:rsidRPr="00151A5C">
        <w:rPr>
          <w:rFonts w:eastAsia="Times New Roman" w:cstheme="minorHAnsi"/>
          <w:color w:val="000000"/>
        </w:rPr>
        <w:t>April 23 – Deadline: Third Reading Substantive Bills/both chambers</w:t>
      </w:r>
    </w:p>
    <w:p w14:paraId="775D9612" w14:textId="77777777" w:rsidR="00151A5C" w:rsidRPr="00151A5C" w:rsidRDefault="00151A5C" w:rsidP="00151A5C">
      <w:pPr>
        <w:spacing w:after="0" w:line="240" w:lineRule="auto"/>
        <w:rPr>
          <w:rFonts w:eastAsia="Times New Roman" w:cstheme="minorHAnsi"/>
          <w:sz w:val="24"/>
          <w:szCs w:val="24"/>
        </w:rPr>
      </w:pPr>
      <w:r w:rsidRPr="00151A5C">
        <w:rPr>
          <w:rFonts w:eastAsia="Times New Roman" w:cstheme="minorHAnsi"/>
          <w:color w:val="000000"/>
        </w:rPr>
        <w:t>May 14 – Deadline: Substantive Bills out of Committee in opposite chamber/both</w:t>
      </w:r>
    </w:p>
    <w:p w14:paraId="5C533430" w14:textId="77777777" w:rsidR="00151A5C" w:rsidRPr="00151A5C" w:rsidRDefault="00151A5C" w:rsidP="00151A5C">
      <w:pPr>
        <w:spacing w:after="0" w:line="240" w:lineRule="auto"/>
        <w:rPr>
          <w:rFonts w:eastAsia="Times New Roman" w:cstheme="minorHAnsi"/>
          <w:sz w:val="24"/>
          <w:szCs w:val="24"/>
        </w:rPr>
      </w:pPr>
      <w:r w:rsidRPr="00151A5C">
        <w:rPr>
          <w:rFonts w:eastAsia="Times New Roman" w:cstheme="minorHAnsi"/>
          <w:color w:val="000000"/>
        </w:rPr>
        <w:t>chambers</w:t>
      </w:r>
    </w:p>
    <w:p w14:paraId="7F05F4D1" w14:textId="77777777" w:rsidR="00151A5C" w:rsidRPr="00151A5C" w:rsidRDefault="00151A5C" w:rsidP="00151A5C">
      <w:pPr>
        <w:spacing w:after="0" w:line="240" w:lineRule="auto"/>
        <w:rPr>
          <w:rFonts w:eastAsia="Times New Roman" w:cstheme="minorHAnsi"/>
          <w:sz w:val="24"/>
          <w:szCs w:val="24"/>
        </w:rPr>
      </w:pPr>
      <w:r w:rsidRPr="00151A5C">
        <w:rPr>
          <w:rFonts w:eastAsia="Times New Roman" w:cstheme="minorHAnsi"/>
          <w:color w:val="000000"/>
        </w:rPr>
        <w:t>May 28 – Deadline: Third Reading Substantive Bills/both chambers</w:t>
      </w:r>
    </w:p>
    <w:p w14:paraId="228DFEE6" w14:textId="77777777" w:rsidR="00151A5C" w:rsidRPr="00151A5C" w:rsidRDefault="00151A5C" w:rsidP="00151A5C">
      <w:pPr>
        <w:spacing w:after="0" w:line="240" w:lineRule="auto"/>
        <w:rPr>
          <w:rFonts w:eastAsia="Times New Roman" w:cstheme="minorHAnsi"/>
          <w:sz w:val="24"/>
          <w:szCs w:val="24"/>
        </w:rPr>
      </w:pPr>
      <w:r w:rsidRPr="00151A5C">
        <w:rPr>
          <w:rFonts w:eastAsia="Times New Roman" w:cstheme="minorHAnsi"/>
          <w:color w:val="000000"/>
        </w:rPr>
        <w:t>May 31 – Adjournment</w:t>
      </w:r>
    </w:p>
    <w:p w14:paraId="5EAF2D11" w14:textId="77777777" w:rsidR="00095CFA" w:rsidRPr="00151A5C" w:rsidRDefault="00095CFA">
      <w:pPr>
        <w:rPr>
          <w:rFonts w:cstheme="minorHAnsi"/>
        </w:rPr>
      </w:pPr>
    </w:p>
    <w:sectPr w:rsidR="00095CFA" w:rsidRPr="00151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54882"/>
    <w:multiLevelType w:val="multilevel"/>
    <w:tmpl w:val="E428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DB313E"/>
    <w:multiLevelType w:val="multilevel"/>
    <w:tmpl w:val="BE1A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5C"/>
    <w:rsid w:val="00095CFA"/>
    <w:rsid w:val="00151A5C"/>
    <w:rsid w:val="001F05EF"/>
    <w:rsid w:val="00D8132D"/>
    <w:rsid w:val="00E20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6DCA"/>
  <w15:chartTrackingRefBased/>
  <w15:docId w15:val="{2EFCFBBD-9E6D-4C9F-A01C-193338F8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A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1A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publicacts/fulltext.asp?Name=101-0660&amp;GA=101" TargetMode="External"/><Relationship Id="rId13" Type="http://schemas.openxmlformats.org/officeDocument/2006/relationships/hyperlink" Target="https://ilga.gov/legislation/publicacts/fulltext.asp?Name=101-0673&amp;GA=101" TargetMode="External"/><Relationship Id="rId18" Type="http://schemas.openxmlformats.org/officeDocument/2006/relationships/hyperlink" Target="https://ilga.gov/legislation/publicacts/fulltext.asp?Name=101-0669&amp;GA=101" TargetMode="External"/><Relationship Id="rId26" Type="http://schemas.openxmlformats.org/officeDocument/2006/relationships/hyperlink" Target="https://ilga.gov/reports/Preview.asp?t=dir&amp;k=29&amp;ga=16&amp;d=4/7/2021&amp;d2=4/8/2021&amp;h=Senate%20Amendments%20Filed%20on%204/7/2021" TargetMode="External"/><Relationship Id="rId3" Type="http://schemas.openxmlformats.org/officeDocument/2006/relationships/settings" Target="settings.xml"/><Relationship Id="rId21" Type="http://schemas.openxmlformats.org/officeDocument/2006/relationships/hyperlink" Target="https://ilga.gov/legislation/publicacts/fulltext.asp?Name=101-0672&amp;GA=101" TargetMode="External"/><Relationship Id="rId7" Type="http://schemas.openxmlformats.org/officeDocument/2006/relationships/hyperlink" Target="https://ilga.gov/legislation/publicacts/fulltext.asp?Name=102-0003" TargetMode="External"/><Relationship Id="rId12" Type="http://schemas.openxmlformats.org/officeDocument/2006/relationships/hyperlink" Target="https://ilga.gov/legislation/publicacts/fulltext.asp?Name=101-0663" TargetMode="External"/><Relationship Id="rId17" Type="http://schemas.openxmlformats.org/officeDocument/2006/relationships/hyperlink" Target="https://ilga.gov/legislation/publicacts/fulltext.asp?Name=101-0668&amp;GA=101" TargetMode="External"/><Relationship Id="rId25" Type="http://schemas.openxmlformats.org/officeDocument/2006/relationships/hyperlink" Target="https://ilga.gov/legislation/BillStatus.asp?DocNum=516&amp;GAID=16&amp;DocTypeID=SB&amp;LegId=133098&amp;SessionID=110" TargetMode="External"/><Relationship Id="rId2" Type="http://schemas.openxmlformats.org/officeDocument/2006/relationships/styles" Target="styles.xml"/><Relationship Id="rId16" Type="http://schemas.openxmlformats.org/officeDocument/2006/relationships/hyperlink" Target="https://ilga.gov/legislation/publicacts/fulltext.asp?Name=101-0667" TargetMode="External"/><Relationship Id="rId20" Type="http://schemas.openxmlformats.org/officeDocument/2006/relationships/hyperlink" Target="https://ilga.gov/legislation/publicacts/fulltext.asp?Name=101-0671&amp;GA=10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lga.gov/legislation/publicacts/fulltext.asp?Name=102-0002&amp;GA=102" TargetMode="External"/><Relationship Id="rId11" Type="http://schemas.openxmlformats.org/officeDocument/2006/relationships/hyperlink" Target="https://ilga.gov/legislation/publicacts/fulltext.asp?Name=101-0664&amp;GA=101" TargetMode="External"/><Relationship Id="rId24" Type="http://schemas.openxmlformats.org/officeDocument/2006/relationships/hyperlink" Target="https://ilga.gov/reports/Preview.asp?t=dir&amp;k=28&amp;ga=16&amp;d=4/7/2021&amp;d2=4/8/2021&amp;h=House%20Amendments%20Filed%20on%204/7/2021" TargetMode="External"/><Relationship Id="rId5" Type="http://schemas.openxmlformats.org/officeDocument/2006/relationships/hyperlink" Target="https://ilga.gov/legislation/publicacts/fulltext.asp?Name=102-0001" TargetMode="External"/><Relationship Id="rId15" Type="http://schemas.openxmlformats.org/officeDocument/2006/relationships/hyperlink" Target="https://ilga.gov/legislation/publicacts/fulltext.asp?Name=101-0666" TargetMode="External"/><Relationship Id="rId23" Type="http://schemas.openxmlformats.org/officeDocument/2006/relationships/hyperlink" Target="https://ilga.gov/legislation/BillStatus.asp?DocNum=711&amp;GAID=16&amp;DocTypeID=HB&amp;LegId=129232&amp;SessionID=110" TargetMode="External"/><Relationship Id="rId28" Type="http://schemas.openxmlformats.org/officeDocument/2006/relationships/hyperlink" Target="https://ilga.gov/legislation/BillStatus.asp?DocNum=1166&amp;GAID=16&amp;DocTypeID=SB&amp;LegId=133798&amp;SessionID=110" TargetMode="External"/><Relationship Id="rId10" Type="http://schemas.openxmlformats.org/officeDocument/2006/relationships/hyperlink" Target="https://ilga.gov/legislation/publicacts/fulltext.asp?Name=101-0662&amp;GA=101" TargetMode="External"/><Relationship Id="rId19" Type="http://schemas.openxmlformats.org/officeDocument/2006/relationships/hyperlink" Target="https://ilga.gov/legislation/publicacts/fulltext.asp?Name=101-0670&amp;GA=101" TargetMode="External"/><Relationship Id="rId4" Type="http://schemas.openxmlformats.org/officeDocument/2006/relationships/webSettings" Target="webSettings.xml"/><Relationship Id="rId9" Type="http://schemas.openxmlformats.org/officeDocument/2006/relationships/hyperlink" Target="https://ilga.gov/legislation/publicacts/fulltext.asp?Name=101-0661&amp;GA=101" TargetMode="External"/><Relationship Id="rId14" Type="http://schemas.openxmlformats.org/officeDocument/2006/relationships/hyperlink" Target="https://ilga.gov/legislation/publicacts/101/PDF/101-0665.pdf" TargetMode="External"/><Relationship Id="rId22" Type="http://schemas.openxmlformats.org/officeDocument/2006/relationships/hyperlink" Target="https://www2.illinois.gov/Pages/Executive-Orders/ExecutiveOrder2021-06.aspx" TargetMode="External"/><Relationship Id="rId27" Type="http://schemas.openxmlformats.org/officeDocument/2006/relationships/hyperlink" Target="https://ilga.gov/legislation/BillStatus.asp?DocNum=731&amp;GAID=16&amp;DocTypeID=SB&amp;LegId=133357&amp;SessionID=11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1602</Words>
  <Characters>9132</Characters>
  <Application>Microsoft Office Word</Application>
  <DocSecurity>0</DocSecurity>
  <Lines>76</Lines>
  <Paragraphs>21</Paragraphs>
  <ScaleCrop>false</ScaleCrop>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2021-04-12T16:31:00Z</dcterms:created>
  <dcterms:modified xsi:type="dcterms:W3CDTF">2021-04-12T16:31:00Z</dcterms:modified>
</cp:coreProperties>
</file>