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7C08" w14:textId="549A7CBA" w:rsidR="007848AF" w:rsidRPr="00454791" w:rsidRDefault="00007895" w:rsidP="00007895">
      <w:pPr>
        <w:jc w:val="center"/>
        <w:rPr>
          <w:b/>
          <w:bCs/>
          <w:u w:val="single"/>
        </w:rPr>
      </w:pPr>
      <w:r w:rsidRPr="00454791">
        <w:rPr>
          <w:b/>
          <w:bCs/>
          <w:u w:val="single"/>
        </w:rPr>
        <w:t>End of Session Report</w:t>
      </w:r>
    </w:p>
    <w:p w14:paraId="17F74EC2" w14:textId="77777777" w:rsidR="00454791" w:rsidRPr="00292E01" w:rsidRDefault="00454791" w:rsidP="00454791">
      <w:pPr>
        <w:rPr>
          <w:rFonts w:ascii="Calibri" w:eastAsia="Calibri" w:hAnsi="Calibri" w:cs="Calibri"/>
          <w:color w:val="000000" w:themeColor="text1"/>
        </w:rPr>
      </w:pPr>
      <w:r w:rsidRPr="00292E01">
        <w:rPr>
          <w:rFonts w:ascii="Calibri" w:eastAsia="Calibri" w:hAnsi="Calibri" w:cs="Calibri"/>
          <w:color w:val="000000" w:themeColor="text1"/>
        </w:rPr>
        <w:t xml:space="preserve">The 103rd General Assembly adjourned its spring 2023 session until the call of the presiding officer. This year marked the first time in three years that the legislative body conducted business in person and under normal circumstances, having had its operations disrupted by Covid </w:t>
      </w:r>
      <w:r>
        <w:rPr>
          <w:rFonts w:ascii="Calibri" w:eastAsia="Calibri" w:hAnsi="Calibri" w:cs="Calibri"/>
          <w:color w:val="000000" w:themeColor="text1"/>
        </w:rPr>
        <w:t>for the past three years</w:t>
      </w:r>
      <w:r w:rsidRPr="00292E01">
        <w:rPr>
          <w:rFonts w:ascii="Calibri" w:eastAsia="Calibri" w:hAnsi="Calibri" w:cs="Calibri"/>
          <w:color w:val="000000" w:themeColor="text1"/>
        </w:rPr>
        <w:t xml:space="preserve">. </w:t>
      </w:r>
    </w:p>
    <w:p w14:paraId="522C5F90" w14:textId="77777777" w:rsidR="004D3DE2" w:rsidRDefault="004D3DE2" w:rsidP="00454791">
      <w:pPr>
        <w:rPr>
          <w:rFonts w:cstheme="minorHAnsi"/>
        </w:rPr>
      </w:pPr>
      <w:r w:rsidRPr="004D3DE2">
        <w:rPr>
          <w:rFonts w:cstheme="minorHAnsi"/>
          <w:color w:val="292929"/>
          <w:spacing w:val="3"/>
          <w:shd w:val="clear" w:color="auto" w:fill="FFFFFF"/>
        </w:rPr>
        <w:t xml:space="preserve">Session was originally scheduled to adjourn on May 19 but was extended a few additional days due to delays in the budget process. 28 new members joined the General Assembly after the November 2022 election. House members filed over 4,000 bills, and Senate members filed over 2,500 bills, making for a very busy session. </w:t>
      </w:r>
      <w:r w:rsidR="00454791" w:rsidRPr="004D3DE2">
        <w:rPr>
          <w:rFonts w:cstheme="minorHAnsi"/>
          <w:shd w:val="clear" w:color="auto" w:fill="FFFFFF" w:themeFill="background1"/>
        </w:rPr>
        <w:t>In total, 566 bills passed both Chambers, including 346 House bills and 220 Senate bills.</w:t>
      </w:r>
      <w:r w:rsidR="00454791" w:rsidRPr="004D3DE2">
        <w:rPr>
          <w:rFonts w:cstheme="minorHAnsi"/>
        </w:rPr>
        <w:t xml:space="preserve">  </w:t>
      </w:r>
    </w:p>
    <w:p w14:paraId="44E82B1B" w14:textId="32110653" w:rsidR="00454791" w:rsidRPr="004D3DE2" w:rsidRDefault="004D3DE2" w:rsidP="00454791">
      <w:pPr>
        <w:rPr>
          <w:rFonts w:cstheme="minorHAnsi"/>
        </w:rPr>
      </w:pPr>
      <w:r w:rsidRPr="004D3DE2">
        <w:rPr>
          <w:rFonts w:cstheme="minorHAnsi"/>
          <w:color w:val="292929"/>
          <w:spacing w:val="3"/>
          <w:shd w:val="clear" w:color="auto" w:fill="FFFFFF"/>
        </w:rPr>
        <w:t>At the end of session, the General Assembly passed a $50.599B budget, BIMP, revenue omnibus, Medicaid omnibus, procurement omnibus, energy omnibus, elections omnibus, property tax omnibus, TIF extension omnibus, sunset extension omnibus, issued $700M in new capital development bonds, created a state health benefits exchange, and allowed the Department of Insurance to reject private health insurance rates deemed unreasonable. A summary of key legislation from the 2023 regular session of the Illinois General Assembly is below. Legislators will return to Springfield for a fall veto session from October 24 to 26 and November 7 to 9.</w:t>
      </w:r>
    </w:p>
    <w:p w14:paraId="0B389176" w14:textId="77777777" w:rsidR="00C90D42" w:rsidRDefault="00454791" w:rsidP="00454791">
      <w:r w:rsidRPr="00C90D42">
        <w:rPr>
          <w:b/>
          <w:bCs/>
          <w:sz w:val="28"/>
          <w:szCs w:val="28"/>
        </w:rPr>
        <w:t>Budget:</w:t>
      </w:r>
      <w:r>
        <w:t xml:space="preserve"> </w:t>
      </w:r>
    </w:p>
    <w:p w14:paraId="57C1B6CD" w14:textId="347BC4C5" w:rsidR="00454791" w:rsidRDefault="003458B6" w:rsidP="00454791">
      <w:hyperlink r:id="rId5">
        <w:r w:rsidR="00454791" w:rsidRPr="00785195">
          <w:rPr>
            <w:rStyle w:val="Hyperlink"/>
            <w:b/>
            <w:bCs/>
          </w:rPr>
          <w:t>The Fiscal Year 2024 Budge</w:t>
        </w:r>
        <w:r w:rsidR="00454791" w:rsidRPr="3C8FD6B5">
          <w:rPr>
            <w:rStyle w:val="Hyperlink"/>
          </w:rPr>
          <w:t>t</w:t>
        </w:r>
      </w:hyperlink>
      <w:r w:rsidR="00454791">
        <w:t xml:space="preserve"> appropriates $50.618 billion in </w:t>
      </w:r>
      <w:r w:rsidR="00454791" w:rsidRPr="000059D5">
        <w:t>General Revenue Funds</w:t>
      </w:r>
      <w:r w:rsidR="00454791">
        <w:t xml:space="preserve"> and assumes revenue of $50.717 billion. </w:t>
      </w:r>
      <w:r w:rsidR="00454791" w:rsidRPr="004C751D">
        <w:t>The overall framework for administering the budget is addressed in the budget implementation bill</w:t>
      </w:r>
      <w:r w:rsidR="00454791">
        <w:t xml:space="preserve"> - </w:t>
      </w:r>
      <w:hyperlink r:id="rId6">
        <w:r w:rsidR="00454791" w:rsidRPr="00785195">
          <w:rPr>
            <w:rStyle w:val="Hyperlink"/>
            <w:b/>
            <w:bCs/>
          </w:rPr>
          <w:t>HB 3817</w:t>
        </w:r>
      </w:hyperlink>
      <w:r w:rsidR="00454791">
        <w:t xml:space="preserve"> (Gordon-Booth/Sims).</w:t>
      </w:r>
      <w:r w:rsidR="00454791" w:rsidRPr="004C751D">
        <w:t xml:space="preserve"> </w:t>
      </w:r>
      <w:r w:rsidR="00454791">
        <w:t xml:space="preserve"> The </w:t>
      </w:r>
      <w:r w:rsidR="00454791" w:rsidRPr="00126A22">
        <w:t>2023 omnibus revenue package</w:t>
      </w:r>
      <w:r w:rsidR="00454791">
        <w:t xml:space="preserve">, </w:t>
      </w:r>
      <w:hyperlink r:id="rId7">
        <w:r w:rsidR="00454791" w:rsidRPr="00785195">
          <w:rPr>
            <w:rStyle w:val="Hyperlink"/>
            <w:b/>
            <w:bCs/>
          </w:rPr>
          <w:t>SB 1963</w:t>
        </w:r>
      </w:hyperlink>
      <w:r w:rsidR="00454791" w:rsidRPr="00126A22">
        <w:t xml:space="preserve"> (</w:t>
      </w:r>
      <w:r w:rsidR="00454791">
        <w:t>Villanueva</w:t>
      </w:r>
      <w:r w:rsidR="00454791" w:rsidRPr="00126A22">
        <w:t>/Tarver)</w:t>
      </w:r>
      <w:r w:rsidR="00454791">
        <w:t xml:space="preserve"> - which was discussed in detail in last week’s report - will generate an estimated $70 million in revenue for the state</w:t>
      </w:r>
      <w:r w:rsidR="00454791" w:rsidRPr="00126A22">
        <w:t>.</w:t>
      </w:r>
    </w:p>
    <w:p w14:paraId="3D8EAAB1" w14:textId="77777777" w:rsidR="00454791" w:rsidRPr="004C751D" w:rsidRDefault="00454791" w:rsidP="00454791">
      <w:r>
        <w:t>Democrats attest that the budget is both “fiscally responsible” and “compassiona</w:t>
      </w:r>
      <w:r w:rsidRPr="00BD78D8">
        <w:t>te.”</w:t>
      </w:r>
      <w:r>
        <w:t xml:space="preserve">  In the next fiscal year, the state will make its full pension payment and pay</w:t>
      </w:r>
      <w:r w:rsidRPr="004C751D">
        <w:t xml:space="preserve"> $200 million </w:t>
      </w:r>
      <w:r>
        <w:t>more</w:t>
      </w:r>
      <w:r w:rsidRPr="004C751D">
        <w:t>, thus bringing to $700 million the total pension stabilization investment.</w:t>
      </w:r>
      <w:r>
        <w:t xml:space="preserve"> In another move </w:t>
      </w:r>
      <w:r w:rsidRPr="00BD78D8">
        <w:t>toward economic soundness, $</w:t>
      </w:r>
      <w:r w:rsidRPr="004C751D">
        <w:t xml:space="preserve">450 million </w:t>
      </w:r>
      <w:r>
        <w:t xml:space="preserve">is allocated to pay </w:t>
      </w:r>
      <w:r w:rsidRPr="004C751D">
        <w:t>off rail splitter bonds (expected savings in interest: $60 million)</w:t>
      </w:r>
      <w:r>
        <w:t xml:space="preserve"> and the state’s</w:t>
      </w:r>
      <w:r w:rsidRPr="004C751D">
        <w:t xml:space="preserve"> Rainy-Day Fund </w:t>
      </w:r>
      <w:r w:rsidRPr="00BD78D8">
        <w:t>will surpass $2 billion</w:t>
      </w:r>
      <w:r>
        <w:t>.</w:t>
      </w:r>
      <w:r w:rsidRPr="004C751D">
        <w:t xml:space="preserve"> </w:t>
      </w:r>
    </w:p>
    <w:p w14:paraId="25372870" w14:textId="77777777" w:rsidR="00454791" w:rsidRPr="004C751D" w:rsidRDefault="00454791" w:rsidP="00454791">
      <w:r w:rsidRPr="00625E08">
        <w:rPr>
          <w:u w:val="single"/>
        </w:rPr>
        <w:t>Health and Human Services</w:t>
      </w:r>
      <w:r>
        <w:t>:</w:t>
      </w:r>
      <w:r w:rsidRPr="004C751D">
        <w:t xml:space="preserve"> Significantly obstructing passage of the budget </w:t>
      </w:r>
      <w:r>
        <w:t>were the skyrocketing costs of a program that provides</w:t>
      </w:r>
      <w:r w:rsidRPr="004C751D">
        <w:t xml:space="preserve"> healthcare for immigrants.</w:t>
      </w:r>
      <w:r>
        <w:t xml:space="preserve"> </w:t>
      </w:r>
      <w:r w:rsidRPr="004C751D">
        <w:t>The program is set to receive $550 million</w:t>
      </w:r>
      <w:r>
        <w:t xml:space="preserve"> (down from a projected $1.2 billion)</w:t>
      </w:r>
      <w:r w:rsidRPr="004C751D">
        <w:t xml:space="preserve"> under the FY24 budget. </w:t>
      </w:r>
      <w:r>
        <w:t xml:space="preserve">The Legislature granted the Department of Healthcare and </w:t>
      </w:r>
      <w:r w:rsidRPr="00BD78D8">
        <w:t>Family Services emergency rule making powers to implement various “tools” to control costs and manage the initiative. Those management tools could include reducing and managing the program’s costs by limiting future enrollment; maximizing federal funds designated for immigrant health care; and utilizing managed care models, which</w:t>
      </w:r>
      <w:r>
        <w:t xml:space="preserve"> prioritize quality of care over quantity in a manner that often lowers costs.</w:t>
      </w:r>
    </w:p>
    <w:p w14:paraId="501705E3" w14:textId="77777777" w:rsidR="00454791" w:rsidRDefault="00454791" w:rsidP="00454791">
      <w:r>
        <w:t xml:space="preserve">Appropriations include:  </w:t>
      </w:r>
    </w:p>
    <w:p w14:paraId="1E49ADF5" w14:textId="459760BB" w:rsidR="00454791" w:rsidRDefault="00454791" w:rsidP="00454791">
      <w:pPr>
        <w:pStyle w:val="ListParagraph"/>
        <w:numPr>
          <w:ilvl w:val="0"/>
          <w:numId w:val="1"/>
        </w:numPr>
      </w:pPr>
      <w:r>
        <w:t>Increased funding for safety net hospitals ($38 million plus another $75 million between IDPH and HFS)</w:t>
      </w:r>
      <w:r w:rsidR="00AB5B02">
        <w:t>.</w:t>
      </w:r>
    </w:p>
    <w:p w14:paraId="0BA35757" w14:textId="64B31772" w:rsidR="00454791" w:rsidRDefault="00454791" w:rsidP="00454791">
      <w:pPr>
        <w:pStyle w:val="ListParagraph"/>
        <w:numPr>
          <w:ilvl w:val="0"/>
          <w:numId w:val="1"/>
        </w:numPr>
      </w:pPr>
      <w:r>
        <w:t>$240 million for the Medicaid omnibus (see below)</w:t>
      </w:r>
      <w:r w:rsidR="00AB5B02">
        <w:t>.</w:t>
      </w:r>
    </w:p>
    <w:p w14:paraId="145A5516" w14:textId="768DBEDD" w:rsidR="00454791" w:rsidRPr="004C751D" w:rsidRDefault="00454791" w:rsidP="00454791">
      <w:pPr>
        <w:pStyle w:val="ListParagraph"/>
        <w:numPr>
          <w:ilvl w:val="0"/>
          <w:numId w:val="1"/>
        </w:numPr>
      </w:pPr>
      <w:r w:rsidRPr="004C751D">
        <w:lastRenderedPageBreak/>
        <w:t xml:space="preserve"> $75 million </w:t>
      </w:r>
      <w:r w:rsidRPr="00B640A4">
        <w:t>increase to   DCFS to</w:t>
      </w:r>
      <w:r w:rsidRPr="004C751D">
        <w:t xml:space="preserve"> hire nearly 200 staff, bolster scholarships to youth in care, expand training, and improve </w:t>
      </w:r>
      <w:r w:rsidR="00AB5B02" w:rsidRPr="004C751D">
        <w:t>facilities.</w:t>
      </w:r>
    </w:p>
    <w:p w14:paraId="687EF479" w14:textId="62691180" w:rsidR="00454791" w:rsidRDefault="00454791" w:rsidP="00454791">
      <w:pPr>
        <w:pStyle w:val="ListParagraph"/>
        <w:numPr>
          <w:ilvl w:val="0"/>
          <w:numId w:val="1"/>
        </w:numPr>
      </w:pPr>
      <w:r w:rsidRPr="004C751D">
        <w:t xml:space="preserve">$53.5 million for IDPH to overhaul its disease-monitoring </w:t>
      </w:r>
      <w:r w:rsidR="00AB5B02" w:rsidRPr="004C751D">
        <w:t>technology.</w:t>
      </w:r>
    </w:p>
    <w:p w14:paraId="6975AABC" w14:textId="1384B226" w:rsidR="00454791" w:rsidRPr="004C751D" w:rsidRDefault="00454791" w:rsidP="00454791">
      <w:pPr>
        <w:pStyle w:val="ListParagraph"/>
        <w:numPr>
          <w:ilvl w:val="0"/>
          <w:numId w:val="1"/>
        </w:numPr>
      </w:pPr>
      <w:r>
        <w:t>$40 million ($20 million GRF/$20 million federal match) to increase direct service provider wages by $2.50/hour beginning January 1</w:t>
      </w:r>
      <w:r w:rsidR="00AB5B02">
        <w:t>.</w:t>
      </w:r>
    </w:p>
    <w:p w14:paraId="6223D3E6" w14:textId="18B28428" w:rsidR="00454791" w:rsidRPr="004C751D" w:rsidRDefault="00454791" w:rsidP="00454791">
      <w:pPr>
        <w:pStyle w:val="ListParagraph"/>
        <w:numPr>
          <w:ilvl w:val="0"/>
          <w:numId w:val="1"/>
        </w:numPr>
      </w:pPr>
      <w:r w:rsidRPr="004C751D">
        <w:t>$200 million increase for improved services for the developmentally disabled</w:t>
      </w:r>
      <w:r w:rsidR="00AB5B02">
        <w:t>.</w:t>
      </w:r>
    </w:p>
    <w:p w14:paraId="13850416" w14:textId="0CD67849" w:rsidR="00454791" w:rsidRPr="004C751D" w:rsidRDefault="00454791" w:rsidP="00454791">
      <w:pPr>
        <w:pStyle w:val="ListParagraph"/>
        <w:numPr>
          <w:ilvl w:val="0"/>
          <w:numId w:val="1"/>
        </w:numPr>
      </w:pPr>
      <w:r w:rsidRPr="004C751D">
        <w:t>$24 million for pay boosts to workers helping the elderly</w:t>
      </w:r>
      <w:r>
        <w:t xml:space="preserve"> (bringing wages to $17/hour)</w:t>
      </w:r>
      <w:r w:rsidRPr="004C751D">
        <w:t>; an increase for Adult Day Service</w:t>
      </w:r>
      <w:r>
        <w:t>s</w:t>
      </w:r>
      <w:r w:rsidRPr="004C751D">
        <w:t xml:space="preserve">; and overall outreach to the </w:t>
      </w:r>
      <w:r w:rsidR="00AB5B02" w:rsidRPr="004C751D">
        <w:t>elderly.</w:t>
      </w:r>
    </w:p>
    <w:p w14:paraId="70FA7830" w14:textId="1D491B8C" w:rsidR="00454791" w:rsidRDefault="00454791" w:rsidP="00454791">
      <w:pPr>
        <w:pStyle w:val="ListParagraph"/>
        <w:numPr>
          <w:ilvl w:val="0"/>
          <w:numId w:val="1"/>
        </w:numPr>
      </w:pPr>
      <w:r w:rsidRPr="004C751D">
        <w:t>$18 million for reproductive health initiatives</w:t>
      </w:r>
      <w:r w:rsidR="00AB5B02">
        <w:t>.</w:t>
      </w:r>
    </w:p>
    <w:p w14:paraId="53E1AC1E" w14:textId="707B1181" w:rsidR="00454791" w:rsidRDefault="00454791" w:rsidP="00454791">
      <w:pPr>
        <w:pStyle w:val="ListParagraph"/>
        <w:numPr>
          <w:ilvl w:val="0"/>
          <w:numId w:val="1"/>
        </w:numPr>
      </w:pPr>
      <w:r>
        <w:t xml:space="preserve">$8 million increase for home delivered </w:t>
      </w:r>
      <w:r w:rsidR="00AB5B02">
        <w:t>meals.</w:t>
      </w:r>
    </w:p>
    <w:p w14:paraId="1394DD48" w14:textId="3C5B7FF8" w:rsidR="00454791" w:rsidRDefault="00454791" w:rsidP="00454791">
      <w:pPr>
        <w:pStyle w:val="ListParagraph"/>
        <w:numPr>
          <w:ilvl w:val="0"/>
          <w:numId w:val="1"/>
        </w:numPr>
      </w:pPr>
      <w:r>
        <w:t xml:space="preserve">$5 </w:t>
      </w:r>
      <w:r w:rsidRPr="000C2FA6">
        <w:t>million for emerging</w:t>
      </w:r>
      <w:r>
        <w:t xml:space="preserve"> public health needs</w:t>
      </w:r>
      <w:r w:rsidR="00AB5B02">
        <w:t>.</w:t>
      </w:r>
    </w:p>
    <w:p w14:paraId="50F9D997" w14:textId="5B66CA7C" w:rsidR="00454791" w:rsidRDefault="00454791" w:rsidP="00454791">
      <w:pPr>
        <w:pStyle w:val="ListParagraph"/>
        <w:numPr>
          <w:ilvl w:val="0"/>
          <w:numId w:val="1"/>
        </w:numPr>
      </w:pPr>
      <w:r>
        <w:t>$42 million for equity and representation in health care</w:t>
      </w:r>
      <w:r w:rsidR="00AB5B02">
        <w:t>.</w:t>
      </w:r>
    </w:p>
    <w:p w14:paraId="1C1D45CE" w14:textId="1172EE1C" w:rsidR="00454791" w:rsidRPr="004C751D" w:rsidRDefault="00454791" w:rsidP="00454791">
      <w:pPr>
        <w:pStyle w:val="ListParagraph"/>
        <w:numPr>
          <w:ilvl w:val="0"/>
          <w:numId w:val="1"/>
        </w:numPr>
      </w:pPr>
      <w:r>
        <w:t>$5 increase million for DCFS residential grants</w:t>
      </w:r>
      <w:r w:rsidR="00AB5B02">
        <w:t>.</w:t>
      </w:r>
    </w:p>
    <w:p w14:paraId="2A0BC269" w14:textId="40DB34DB" w:rsidR="00454791" w:rsidRPr="004C751D" w:rsidRDefault="00454791" w:rsidP="00454791">
      <w:pPr>
        <w:pStyle w:val="ListParagraph"/>
        <w:numPr>
          <w:ilvl w:val="0"/>
          <w:numId w:val="1"/>
        </w:numPr>
      </w:pPr>
      <w:r w:rsidRPr="004C751D">
        <w:t>Nearly $23 million for the Children’s Behavioral Health Transformation Initiative</w:t>
      </w:r>
      <w:r w:rsidR="00AB5B02">
        <w:t>.</w:t>
      </w:r>
    </w:p>
    <w:p w14:paraId="202DF011" w14:textId="14D47777" w:rsidR="00454791" w:rsidRDefault="00454791" w:rsidP="00454791">
      <w:pPr>
        <w:pStyle w:val="ListParagraph"/>
        <w:numPr>
          <w:ilvl w:val="0"/>
          <w:numId w:val="1"/>
        </w:numPr>
      </w:pPr>
      <w:r w:rsidRPr="004C751D">
        <w:t>Continued monies for the $250 million Reimagine Public Safety Act to prevent gun violence and funding for programs on youth employment</w:t>
      </w:r>
      <w:r w:rsidR="00AB5B02">
        <w:t>.</w:t>
      </w:r>
    </w:p>
    <w:p w14:paraId="1D5F7F50" w14:textId="509341EE" w:rsidR="00454791" w:rsidRPr="004C751D" w:rsidRDefault="00454791" w:rsidP="00454791">
      <w:r w:rsidRPr="007971B7">
        <w:rPr>
          <w:u w:val="single"/>
        </w:rPr>
        <w:t>Education</w:t>
      </w:r>
      <w:r>
        <w:t>:</w:t>
      </w:r>
      <w:r w:rsidRPr="004C751D">
        <w:t xml:space="preserve"> The first year of the Governor’s early childhood plan will be launched with $250 million in funding, with financial boosts to an array of efforts like stabilizing the childcare workforce; eliminating preschool deserts; </w:t>
      </w:r>
      <w:r w:rsidRPr="000C2FA6">
        <w:t>overhauling the childcare</w:t>
      </w:r>
      <w:r w:rsidRPr="004C751D">
        <w:t xml:space="preserve"> payment management system; and expanding the Early Intervention Program and Home Visiting programs. Also added in: $50 million for early childhood capital improvements. </w:t>
      </w:r>
    </w:p>
    <w:p w14:paraId="73A3F04F" w14:textId="77777777" w:rsidR="00454791" w:rsidRPr="004C751D" w:rsidRDefault="00454791" w:rsidP="00454791">
      <w:r w:rsidRPr="004C751D">
        <w:t>At the K-12 level, monies will be going to expanding access to computer science coursework ($3 million); providing for evidence-based funding formula ($350 million</w:t>
      </w:r>
      <w:r>
        <w:t xml:space="preserve"> additional</w:t>
      </w:r>
      <w:r w:rsidRPr="004C751D">
        <w:t>); starting up a program to address teacher vacancies ($45 million); and statewide launching of the Dolly Parton Imagination Library ($1.6 million).</w:t>
      </w:r>
    </w:p>
    <w:p w14:paraId="7346F524" w14:textId="77777777" w:rsidR="00454791" w:rsidRPr="004C751D" w:rsidRDefault="00454791" w:rsidP="00454791">
      <w:r w:rsidRPr="004C751D">
        <w:t xml:space="preserve">With respect to higher education, funding reflects </w:t>
      </w:r>
      <w:r>
        <w:t>a 7% increase (the largest increase in two decades)</w:t>
      </w:r>
      <w:r w:rsidRPr="004C751D">
        <w:t>: $80.5 million for public universities and $19.4 million for community colleges. And due to additional MAP grant funding ($100 million), everyone at or below the median income level can attend community college for free.</w:t>
      </w:r>
    </w:p>
    <w:p w14:paraId="04375C65" w14:textId="77777777" w:rsidR="00454791" w:rsidRPr="004C751D" w:rsidRDefault="00454791" w:rsidP="00454791">
      <w:r w:rsidRPr="00024BB7">
        <w:rPr>
          <w:u w:val="single"/>
        </w:rPr>
        <w:t>Economic Development</w:t>
      </w:r>
      <w:r>
        <w:t xml:space="preserve">: </w:t>
      </w:r>
      <w:r w:rsidRPr="004C751D">
        <w:t>The goals of bringing businesses and jobs to Illinois, and closing major economic development deals, are furthered by a $400 million appropriation in the budget. Also earmarked: $40 million for forgivable loans for business start-ups of social equity cannabis; $20 million for Rebuild Illinois and Main Streets Capital Program; additional steps to phase out the franchise tax; and enhancing workforce development programs (in areas like clean energy, data centers, and electric vehicles).</w:t>
      </w:r>
    </w:p>
    <w:p w14:paraId="5AE03AF9" w14:textId="77777777" w:rsidR="00454791" w:rsidRPr="004C751D" w:rsidRDefault="00454791" w:rsidP="00454791">
      <w:r w:rsidRPr="00625E08">
        <w:rPr>
          <w:u w:val="single"/>
        </w:rPr>
        <w:t>Fighting Poverty</w:t>
      </w:r>
      <w:r>
        <w:t xml:space="preserve">:  </w:t>
      </w:r>
      <w:r w:rsidRPr="004C751D">
        <w:t xml:space="preserve"> In an effort to help underserved neighborhoods, $20 million will be invested in a new Illinois Grocery Initiative. Also receiving a funding </w:t>
      </w:r>
      <w:r>
        <w:t>boost</w:t>
      </w:r>
      <w:r w:rsidRPr="004C751D">
        <w:t xml:space="preserve"> is HOME ILLINOIS. The $85 million increase – which brings state funding to $350 million – will go to the prevention of homelessness, developing affordable housing, outreach, and other efforts.</w:t>
      </w:r>
    </w:p>
    <w:p w14:paraId="674349B5" w14:textId="77777777" w:rsidR="00454791" w:rsidRDefault="00454791" w:rsidP="00454791">
      <w:r w:rsidRPr="00A3416D">
        <w:rPr>
          <w:u w:val="single"/>
        </w:rPr>
        <w:t>Local Government</w:t>
      </w:r>
      <w:r w:rsidRPr="00A03141">
        <w:rPr>
          <w:b/>
          <w:bCs/>
        </w:rPr>
        <w:t>:</w:t>
      </w:r>
      <w:r>
        <w:t xml:space="preserve">  The FY 24 budget assumes transfers into the Local Government Distributive Fund to increase by $112.5 million (represents 6.47% funding of LGDF). </w:t>
      </w:r>
    </w:p>
    <w:p w14:paraId="1B6F8A22" w14:textId="77777777" w:rsidR="00454791" w:rsidRPr="004C751D" w:rsidRDefault="00454791" w:rsidP="00454791">
      <w:r w:rsidRPr="00A3416D">
        <w:rPr>
          <w:u w:val="single"/>
        </w:rPr>
        <w:lastRenderedPageBreak/>
        <w:t>Public Safety:</w:t>
      </w:r>
      <w:r>
        <w:t xml:space="preserve">  The FY 24 budget funds three new state police cadet classes and includes a $200 million increase for three Criminal Justice Information Authority grants and $30 million for the LETSB camera grant fund. </w:t>
      </w:r>
    </w:p>
    <w:p w14:paraId="21130AFA" w14:textId="77777777" w:rsidR="00454791" w:rsidRDefault="00454791" w:rsidP="00454791">
      <w:r>
        <w:t xml:space="preserve">The new fiscal year begins July 1. </w:t>
      </w:r>
    </w:p>
    <w:p w14:paraId="7298DD60" w14:textId="77777777" w:rsidR="00454791" w:rsidRDefault="00454791" w:rsidP="00454791">
      <w:r w:rsidRPr="013C665F">
        <w:rPr>
          <w:b/>
          <w:bCs/>
        </w:rPr>
        <w:t>Bond Authorization</w:t>
      </w:r>
      <w:r>
        <w:t xml:space="preserve">:  </w:t>
      </w:r>
      <w:hyperlink r:id="rId8">
        <w:r w:rsidRPr="00785195">
          <w:rPr>
            <w:rStyle w:val="Hyperlink"/>
            <w:b/>
            <w:bCs/>
          </w:rPr>
          <w:t>HB 3551</w:t>
        </w:r>
      </w:hyperlink>
      <w:r>
        <w:t xml:space="preserve"> (Hoffman/Harmon) creates the Bond Authorization Act of 2023.  The legislation specifically authorizes $700 million in new bond authorizations (all for capital improvements and developments) and makes </w:t>
      </w:r>
      <w:r w:rsidRPr="000C2FA6">
        <w:t>clean-up changes</w:t>
      </w:r>
      <w:r>
        <w:t xml:space="preserve"> to the state’s bond acts. HB 3551 passed both houses and heads to the Governor’s desk.</w:t>
      </w:r>
    </w:p>
    <w:p w14:paraId="6D71B3CB" w14:textId="77777777" w:rsidR="00454791" w:rsidRDefault="00454791" w:rsidP="00454791">
      <w:r w:rsidRPr="003F198B">
        <w:rPr>
          <w:b/>
          <w:bCs/>
        </w:rPr>
        <w:t>Budget Implementation</w:t>
      </w:r>
      <w:r>
        <w:t xml:space="preserve">: </w:t>
      </w:r>
      <w:r w:rsidRPr="00785195">
        <w:rPr>
          <w:b/>
          <w:bCs/>
        </w:rPr>
        <w:t xml:space="preserve"> </w:t>
      </w:r>
      <w:hyperlink r:id="rId9">
        <w:r w:rsidRPr="00785195">
          <w:rPr>
            <w:rStyle w:val="Hyperlink"/>
            <w:b/>
            <w:bCs/>
          </w:rPr>
          <w:t>HB 3817</w:t>
        </w:r>
      </w:hyperlink>
      <w:r>
        <w:t xml:space="preserve"> </w:t>
      </w:r>
      <w:r w:rsidRPr="00D07C56">
        <w:t>(</w:t>
      </w:r>
      <w:r>
        <w:t xml:space="preserve">Gordon Booth/Sims) contains the substantive language to administer the FY 24 budget. Passed both houses and heads to the Governor’s </w:t>
      </w:r>
      <w:r w:rsidRPr="000C2FA6">
        <w:t>desk. The bill:</w:t>
      </w:r>
    </w:p>
    <w:p w14:paraId="3E0B5FC4" w14:textId="77777777" w:rsidR="00454791" w:rsidRDefault="00454791" w:rsidP="00454791">
      <w:pPr>
        <w:pStyle w:val="ListParagraph"/>
        <w:numPr>
          <w:ilvl w:val="0"/>
          <w:numId w:val="2"/>
        </w:numPr>
      </w:pPr>
      <w:r>
        <w:t>Authorizes multiple GRF transfers including $200 million to the Pension Stabilization Fund and $100 million to the Build Illinois Projects Fund</w:t>
      </w:r>
    </w:p>
    <w:p w14:paraId="5565C721" w14:textId="77777777" w:rsidR="00454791" w:rsidRDefault="00454791" w:rsidP="00454791">
      <w:pPr>
        <w:pStyle w:val="ListParagraph"/>
        <w:numPr>
          <w:ilvl w:val="0"/>
          <w:numId w:val="2"/>
        </w:numPr>
      </w:pPr>
      <w:r>
        <w:t>Allows for a transfer limit of 8% for state agencies for FY 24</w:t>
      </w:r>
    </w:p>
    <w:p w14:paraId="3C953087" w14:textId="77777777" w:rsidR="00454791" w:rsidRDefault="00454791" w:rsidP="00454791">
      <w:pPr>
        <w:pStyle w:val="ListParagraph"/>
        <w:numPr>
          <w:ilvl w:val="0"/>
          <w:numId w:val="2"/>
        </w:numPr>
      </w:pPr>
      <w:r>
        <w:t xml:space="preserve">Transfers $40 million from the Compassionate Use of Medical Cannabis Fund to the Cannabis Business Development Fund for social equity applicants who are struggling with outside financing </w:t>
      </w:r>
    </w:p>
    <w:p w14:paraId="42738854" w14:textId="77777777" w:rsidR="00454791" w:rsidRDefault="00454791" w:rsidP="00454791">
      <w:pPr>
        <w:pStyle w:val="ListParagraph"/>
        <w:numPr>
          <w:ilvl w:val="0"/>
          <w:numId w:val="2"/>
        </w:numPr>
      </w:pPr>
      <w:r>
        <w:t>Contains a College Health Insurance Program rate increase to address issues within the program</w:t>
      </w:r>
    </w:p>
    <w:p w14:paraId="6541DDD3" w14:textId="77777777" w:rsidR="00454791" w:rsidRDefault="00454791" w:rsidP="00454791">
      <w:pPr>
        <w:pStyle w:val="ListParagraph"/>
        <w:numPr>
          <w:ilvl w:val="0"/>
          <w:numId w:val="2"/>
        </w:numPr>
      </w:pPr>
      <w:r>
        <w:t>Creates the Opioid Remediation Services Capital Investment Grant Program to make capital improvements to local governments and substance use prevention and treatment providers for opioid abatement</w:t>
      </w:r>
    </w:p>
    <w:p w14:paraId="2AE7C34B" w14:textId="77777777" w:rsidR="00454791" w:rsidRDefault="00454791" w:rsidP="00454791">
      <w:pPr>
        <w:pStyle w:val="ListParagraph"/>
        <w:numPr>
          <w:ilvl w:val="0"/>
          <w:numId w:val="2"/>
        </w:numPr>
      </w:pPr>
      <w:r>
        <w:t>Authorizes DECO to issue competitive grants to attract or retain conventions, meetings, sporting events and tradeshows</w:t>
      </w:r>
    </w:p>
    <w:p w14:paraId="183BCD58" w14:textId="77777777" w:rsidR="00454791" w:rsidRDefault="00454791" w:rsidP="00454791">
      <w:pPr>
        <w:pStyle w:val="ListParagraph"/>
        <w:numPr>
          <w:ilvl w:val="0"/>
          <w:numId w:val="2"/>
        </w:numPr>
      </w:pPr>
      <w:r>
        <w:t xml:space="preserve">Creates the HOME ILLINOIS Program to focus on preventing and ending homelessness </w:t>
      </w:r>
    </w:p>
    <w:p w14:paraId="49416C2E" w14:textId="77777777" w:rsidR="00454791" w:rsidRDefault="00454791" w:rsidP="00454791">
      <w:pPr>
        <w:pStyle w:val="ListParagraph"/>
        <w:numPr>
          <w:ilvl w:val="0"/>
          <w:numId w:val="2"/>
        </w:numPr>
      </w:pPr>
      <w:r>
        <w:t>Creates a Fire Station Rehabilitation and Construction Grant Program</w:t>
      </w:r>
    </w:p>
    <w:p w14:paraId="6DDFF7ED" w14:textId="77777777" w:rsidR="00454791" w:rsidRDefault="00454791" w:rsidP="00454791">
      <w:pPr>
        <w:pStyle w:val="ListParagraph"/>
        <w:numPr>
          <w:ilvl w:val="0"/>
          <w:numId w:val="2"/>
        </w:numPr>
      </w:pPr>
      <w:r>
        <w:t xml:space="preserve">Creates the IEMA State Projects Fund to provide grants to not-for-profits that are at high risk for terrorist attack </w:t>
      </w:r>
    </w:p>
    <w:p w14:paraId="4437296C" w14:textId="77777777" w:rsidR="00454791" w:rsidRDefault="00454791" w:rsidP="00454791">
      <w:pPr>
        <w:pStyle w:val="ListParagraph"/>
        <w:numPr>
          <w:ilvl w:val="0"/>
          <w:numId w:val="2"/>
        </w:numPr>
      </w:pPr>
      <w:r>
        <w:t xml:space="preserve">Directs ISBE to </w:t>
      </w:r>
      <w:r w:rsidRPr="000C2FA6">
        <w:t>administer a three-year</w:t>
      </w:r>
      <w:r>
        <w:t xml:space="preserve"> teacher vacancy grant pilot program </w:t>
      </w:r>
    </w:p>
    <w:p w14:paraId="133CE47C" w14:textId="77777777" w:rsidR="00454791" w:rsidRDefault="00454791" w:rsidP="00454791">
      <w:pPr>
        <w:pStyle w:val="ListParagraph"/>
        <w:numPr>
          <w:ilvl w:val="0"/>
          <w:numId w:val="2"/>
        </w:numPr>
      </w:pPr>
      <w:r>
        <w:t>Authorizes the DHS Smart Start Childcare program</w:t>
      </w:r>
    </w:p>
    <w:p w14:paraId="22163121" w14:textId="77777777" w:rsidR="00454791" w:rsidRDefault="00454791" w:rsidP="00454791">
      <w:pPr>
        <w:pStyle w:val="ListParagraph"/>
        <w:numPr>
          <w:ilvl w:val="0"/>
          <w:numId w:val="2"/>
        </w:numPr>
      </w:pPr>
      <w:r>
        <w:t>Authorizes grants to create crisis response maps</w:t>
      </w:r>
    </w:p>
    <w:p w14:paraId="48678EC9" w14:textId="77777777" w:rsidR="00454791" w:rsidRDefault="00454791" w:rsidP="00454791">
      <w:pPr>
        <w:pStyle w:val="ListParagraph"/>
        <w:numPr>
          <w:ilvl w:val="0"/>
          <w:numId w:val="2"/>
        </w:numPr>
      </w:pPr>
      <w:r>
        <w:t>Increases childcare rates to 225% FPL</w:t>
      </w:r>
    </w:p>
    <w:p w14:paraId="47DDA004" w14:textId="77777777" w:rsidR="00454791" w:rsidRDefault="00454791" w:rsidP="00454791">
      <w:pPr>
        <w:pStyle w:val="ListParagraph"/>
        <w:numPr>
          <w:ilvl w:val="0"/>
          <w:numId w:val="2"/>
        </w:numPr>
      </w:pPr>
      <w:r>
        <w:t>Authorizes use of Tobacco Settlement Funds to pay off the rail-splitter bonds</w:t>
      </w:r>
    </w:p>
    <w:p w14:paraId="1C50A1FB" w14:textId="77777777" w:rsidR="00454791" w:rsidRDefault="00454791" w:rsidP="00454791">
      <w:pPr>
        <w:pStyle w:val="ListParagraph"/>
        <w:numPr>
          <w:ilvl w:val="0"/>
          <w:numId w:val="2"/>
        </w:numPr>
      </w:pPr>
      <w:r>
        <w:t xml:space="preserve">Allows DoI to charge an annual compliance fee for police and fire pension funds to allow for audits of those funds </w:t>
      </w:r>
    </w:p>
    <w:p w14:paraId="5C62DC92" w14:textId="77777777" w:rsidR="00454791" w:rsidRDefault="00454791" w:rsidP="00454791">
      <w:pPr>
        <w:pStyle w:val="ListParagraph"/>
        <w:numPr>
          <w:ilvl w:val="0"/>
          <w:numId w:val="2"/>
        </w:numPr>
      </w:pPr>
      <w:r>
        <w:t>Allows DNR to require matching funds for OSLAD grants</w:t>
      </w:r>
    </w:p>
    <w:p w14:paraId="57B4A454" w14:textId="77777777" w:rsidR="00454791" w:rsidRDefault="00454791" w:rsidP="00454791">
      <w:pPr>
        <w:pStyle w:val="ListParagraph"/>
        <w:numPr>
          <w:ilvl w:val="0"/>
          <w:numId w:val="2"/>
        </w:numPr>
      </w:pPr>
      <w:r>
        <w:t xml:space="preserve">Increases the franchise tax </w:t>
      </w:r>
    </w:p>
    <w:p w14:paraId="48111BCF" w14:textId="77777777" w:rsidR="00454791" w:rsidRDefault="00454791" w:rsidP="00454791">
      <w:pPr>
        <w:pStyle w:val="ListParagraph"/>
        <w:numPr>
          <w:ilvl w:val="0"/>
          <w:numId w:val="2"/>
        </w:numPr>
      </w:pPr>
      <w:r>
        <w:t>Effectuates fund transfers to assist in the Secretary of State’s technology modernization efforts</w:t>
      </w:r>
    </w:p>
    <w:p w14:paraId="3E2C70F3" w14:textId="77777777" w:rsidR="004D3DE2" w:rsidRDefault="004D3DE2" w:rsidP="00C52150">
      <w:pPr>
        <w:rPr>
          <w:b/>
          <w:bCs/>
          <w:sz w:val="28"/>
          <w:szCs w:val="28"/>
        </w:rPr>
      </w:pPr>
    </w:p>
    <w:p w14:paraId="78D734C5" w14:textId="77777777" w:rsidR="004D3DE2" w:rsidRDefault="004D3DE2" w:rsidP="00C52150">
      <w:pPr>
        <w:rPr>
          <w:b/>
          <w:bCs/>
          <w:sz w:val="28"/>
          <w:szCs w:val="28"/>
        </w:rPr>
      </w:pPr>
    </w:p>
    <w:p w14:paraId="56326DB2" w14:textId="77777777" w:rsidR="004D3DE2" w:rsidRDefault="004D3DE2" w:rsidP="00C52150">
      <w:pPr>
        <w:rPr>
          <w:b/>
          <w:bCs/>
          <w:sz w:val="28"/>
          <w:szCs w:val="28"/>
        </w:rPr>
      </w:pPr>
    </w:p>
    <w:p w14:paraId="0AA17ACB" w14:textId="73105FA7" w:rsidR="00C52150" w:rsidRPr="00C52150" w:rsidRDefault="00C52150" w:rsidP="00C52150">
      <w:pPr>
        <w:rPr>
          <w:b/>
          <w:bCs/>
          <w:sz w:val="28"/>
          <w:szCs w:val="28"/>
        </w:rPr>
      </w:pPr>
      <w:r w:rsidRPr="00C52150">
        <w:rPr>
          <w:b/>
          <w:bCs/>
          <w:sz w:val="28"/>
          <w:szCs w:val="28"/>
        </w:rPr>
        <w:t>Property &amp; Casualty Insurance Bills:</w:t>
      </w:r>
    </w:p>
    <w:p w14:paraId="6FF07F75" w14:textId="77777777" w:rsidR="00C52150" w:rsidRDefault="00C52150" w:rsidP="00C52150">
      <w:r w:rsidRPr="00C52150">
        <w:rPr>
          <w:b/>
          <w:bCs/>
        </w:rPr>
        <w:t>Auto Insurance Rate Regulation</w:t>
      </w:r>
      <w:r>
        <w:t xml:space="preserve">: In the early months of session, Representative Will Guzzardi introduced </w:t>
      </w:r>
      <w:hyperlink r:id="rId10" w:history="1">
        <w:r w:rsidRPr="00C52150">
          <w:rPr>
            <w:rStyle w:val="Hyperlink"/>
            <w:b/>
            <w:bCs/>
          </w:rPr>
          <w:t>HB 2203</w:t>
        </w:r>
      </w:hyperlink>
      <w:r>
        <w:t xml:space="preserve"> that regulates the rates auto insurance companies may apply to their customers by allowing the Illinois Department of Insurance to reject or change rates, modify tools used by companies to set rates. Rep. Guzzardi noted that he believes discrimination plays into insurance rates resulting in minority drivers paying higher insurance rates.</w:t>
      </w:r>
    </w:p>
    <w:p w14:paraId="785690CE" w14:textId="77777777" w:rsidR="00C52150" w:rsidRDefault="00C52150" w:rsidP="00C52150">
      <w:r>
        <w:t>The IIA of IL joined other interested parties, including the Illinois Insurance Association, the American Property and Casualty Insurance Association, the National Association of Mutual Insurance Companies and others in opposition to this heavily misguided bill. Proponents argued that rates were directly related to social disparities. However, opponents successfully argued that the increase in claims and vehicle inflation related modern technology, like sensors in bumpers and windshields, are some of the main driving factors for the current rates. Fatal accidents and crashes are near five-year highs in Illinois, combined with skyrocketing inflation and supply chain challenges, auto insurance costs continued to climb in 2022 and rates should be able to reflect those costs.</w:t>
      </w:r>
    </w:p>
    <w:p w14:paraId="2BFE1EDB" w14:textId="77777777" w:rsidR="00C52150" w:rsidRDefault="00C52150" w:rsidP="00C52150">
      <w:r>
        <w:t xml:space="preserve">Given the fact that Illinois has one of the most competitive insurance markets in the country and rates are below the national average for consumers, the bill’s failure to gain momentum was a success this spring. However, we do believe this will be a continued fight for future sessions. </w:t>
      </w:r>
    </w:p>
    <w:p w14:paraId="4EF28050" w14:textId="77777777" w:rsidR="00C52150" w:rsidRDefault="00C52150" w:rsidP="00C52150">
      <w:r w:rsidRPr="00C52150">
        <w:rPr>
          <w:b/>
          <w:bCs/>
        </w:rPr>
        <w:t>Public Construction Bonds</w:t>
      </w:r>
      <w:r>
        <w:t xml:space="preserve">: </w:t>
      </w:r>
      <w:hyperlink r:id="rId11" w:history="1">
        <w:r w:rsidRPr="00C52150">
          <w:rPr>
            <w:rStyle w:val="Hyperlink"/>
            <w:b/>
            <w:bCs/>
          </w:rPr>
          <w:t>HB 2878</w:t>
        </w:r>
      </w:hyperlink>
      <w:r>
        <w:t xml:space="preserve"> represents the procurement omnibus package that passed both chambers in time before adjournment. The bill among other things allows for the Illinois Department of Transportation and the Illinois State Tollway Authority to set the surety bond threshold at $500,000 and all other public bodies at $150,000 with a pilot program sunsetting on January 1, 2029. Originally, the bills were introduced to increase the current bond threshold from $50,000 to $5,000,000. The legislation also would have created a “self-insured risk pool” to pay claims or damages under a public works construction contract valued at $5,000,000 or less because of a contractor’s failure. </w:t>
      </w:r>
    </w:p>
    <w:p w14:paraId="48316536" w14:textId="77777777" w:rsidR="00C52150" w:rsidRDefault="00C52150" w:rsidP="00C52150">
      <w:r w:rsidRPr="00C52150">
        <w:rPr>
          <w:b/>
          <w:bCs/>
        </w:rPr>
        <w:t xml:space="preserve">Public Adjuster Reform: </w:t>
      </w:r>
      <w:hyperlink r:id="rId12" w:history="1">
        <w:r w:rsidRPr="00C52150">
          <w:rPr>
            <w:rStyle w:val="Hyperlink"/>
            <w:b/>
            <w:bCs/>
          </w:rPr>
          <w:t>SB 1495</w:t>
        </w:r>
      </w:hyperlink>
      <w:r>
        <w:t xml:space="preserve"> (Harris/Jones) is a bill that passed both chambers, and has been part of the legislative agenda for IAMIC for the last 4 years. The bill caps public adjuster compensation, payment, commission, fee, or other compensation to a maximum of 10% of the amount of the insurance settlement claim for residential properties. It allows consumers to cancel a public adjuster contract via email. Also redefines the consumer cancellation period to begin until after the insurance company has received an exact copy of the public adjuster contract with the insured by email no later than 2 business days after execution of the contract. </w:t>
      </w:r>
    </w:p>
    <w:p w14:paraId="7CF60FAA" w14:textId="7A9078A4" w:rsidR="00C52150" w:rsidRPr="006E6233" w:rsidRDefault="00C52150" w:rsidP="00C52150">
      <w:r w:rsidRPr="00C52150">
        <w:rPr>
          <w:b/>
          <w:bCs/>
        </w:rPr>
        <w:t>Dog Breed Insurance Protection Act</w:t>
      </w:r>
      <w:r>
        <w:t xml:space="preserve">: </w:t>
      </w:r>
      <w:hyperlink r:id="rId13" w:history="1">
        <w:r w:rsidRPr="00C52150">
          <w:rPr>
            <w:rStyle w:val="Hyperlink"/>
            <w:b/>
            <w:bCs/>
          </w:rPr>
          <w:t>HB 1049 (P.A. 103-0011)</w:t>
        </w:r>
      </w:hyperlink>
      <w:r>
        <w:t xml:space="preserve"> (Mayfield/Holmes) is a bill that passed both chambers. The bill provides with respect to homeowner’s insurance policies and renter’s insurance policies issued, renewed, modified, altered, or amended on or after the effective date of this Act, no insurer shall refuse to issue or renew, cancel, charge or impose an increased premium or rate for a policy or contract, or exclude, limit, restrict, or reduce coverage under a policy or contract based solely upon harboring or owning any dog of a specific breed or mixture of breeds. </w:t>
      </w:r>
      <w:r w:rsidR="00F7106D">
        <w:t>Notwithstanding the provisions set forth, an insurer may cancel or refuse to issue or renew any homeowner’s or renter’s insurance policy or impose a reasonably increased premium for such policy based on the determination of an individual dog as a dangerous or vicious dog under the Animal Control Act, as determined by underwriting and actuarial principles reasonably derived from actual loss experience of such insurer with that individual dog and any anticipated loss given such loss exposure.</w:t>
      </w:r>
    </w:p>
    <w:p w14:paraId="2A04B4E4" w14:textId="77777777" w:rsidR="00C52150" w:rsidRDefault="00C52150" w:rsidP="00C52150">
      <w:r w:rsidRPr="00C52150">
        <w:rPr>
          <w:b/>
          <w:bCs/>
        </w:rPr>
        <w:t>Stolen Vehicle Hotline</w:t>
      </w:r>
      <w:r>
        <w:t xml:space="preserve">: </w:t>
      </w:r>
      <w:hyperlink r:id="rId14" w:history="1">
        <w:r w:rsidRPr="00C52150">
          <w:rPr>
            <w:rStyle w:val="Hyperlink"/>
            <w:b/>
            <w:bCs/>
          </w:rPr>
          <w:t>HB 2245</w:t>
        </w:r>
      </w:hyperlink>
      <w:r>
        <w:t xml:space="preserve"> (Moylan/Hastings), is legislation that passed both chambers this spring that among other things, requires manufacturers of any vehicle sold in Illinois to establish a hotline available to State, county, and local law enforcement agencies exclusively for the purposes of law enforcement information sharing the electronic tracking of stolen vehicles. The concept behind HB 2245 dates back to former Cook County Sheriff Tom Dart who felt that he didn’t have adequate tools to combat auto theft. While not perfect, many auto companies worked to get protection in the bill to ensure that information given by manufacturers had been done to the “best of their technical capabilities” since not all manufacturers may have the same technology and can provide the same information. Further language was added to ensure that the system is not abused.</w:t>
      </w:r>
    </w:p>
    <w:p w14:paraId="7716CFEC" w14:textId="1330A991" w:rsidR="00F7106D" w:rsidRDefault="00F7106D" w:rsidP="00C52150">
      <w:pPr>
        <w:rPr>
          <w:rFonts w:cstheme="minorHAnsi"/>
          <w:color w:val="000000"/>
        </w:rPr>
      </w:pPr>
      <w:r w:rsidRPr="00F7106D">
        <w:rPr>
          <w:b/>
          <w:bCs/>
        </w:rPr>
        <w:t>Laser Systems Safety Officers</w:t>
      </w:r>
      <w:r>
        <w:t xml:space="preserve">: </w:t>
      </w:r>
      <w:hyperlink r:id="rId15" w:history="1">
        <w:r w:rsidRPr="00F7106D">
          <w:rPr>
            <w:rStyle w:val="Hyperlink"/>
            <w:b/>
            <w:bCs/>
          </w:rPr>
          <w:t>HB 1132</w:t>
        </w:r>
      </w:hyperlink>
      <w:r>
        <w:t xml:space="preserve"> (Hoffman/Castro) is</w:t>
      </w:r>
      <w:r w:rsidRPr="003C39E9">
        <w:rPr>
          <w:rFonts w:cstheme="minorHAnsi"/>
        </w:rPr>
        <w:t xml:space="preserve"> a bill that passed both chambers. </w:t>
      </w:r>
      <w:r w:rsidR="003C39E9" w:rsidRPr="003C39E9">
        <w:rPr>
          <w:rFonts w:cstheme="minorHAnsi"/>
          <w:color w:val="000000"/>
        </w:rPr>
        <w:t>Amends the Laser System Act of 1997. Defines "laser installation operator", "laser safety officer", "temporary laser display", and "temporary laser display operator". Throughout the Act, refers to laser installation operators or temporary laser display operators (rather than just operators). Requires laser installations to employ a laser safety officer. Requires the Illinois Emergency Management Agency to adopt rules specifying minimum training and experience requirements for laser safety officers. Provides that, if a laser safety officer encounters noncompliance with the Act or rules adopted under the Act in the course of performing his or her duties as a laser safety officer, then the laser safety officer shall report that noncompliance to the Agency as soon as practical. Requires temporary laser display operators to ensure that each temporary laser display has a laser safety officer physically present at the setup, rehearsal, and performance to ensure that all laser systems in operation at the laser installation meet the requirements of the Act and any rules adopted by the Agency under the Act. Requires temporary laser displays and laser safety officers to maintain a policy of general liability insurance in an amount that is commercially reasonable, but not less than $1,000,000, and that covers each temporary laser display and laser safety officer. Requires temporary laser display operators to register with the Agency prior to conducting a temporary laser display. Contains notification requirements.</w:t>
      </w:r>
    </w:p>
    <w:p w14:paraId="5D36524E" w14:textId="26E25DAD" w:rsidR="003C39E9" w:rsidRDefault="003C39E9" w:rsidP="00C52150">
      <w:pPr>
        <w:rPr>
          <w:rFonts w:cstheme="minorHAnsi"/>
          <w:color w:val="000000"/>
        </w:rPr>
      </w:pPr>
      <w:r w:rsidRPr="003C39E9">
        <w:rPr>
          <w:rFonts w:cstheme="minorHAnsi"/>
          <w:b/>
          <w:bCs/>
          <w:color w:val="000000"/>
        </w:rPr>
        <w:t>Liquor-Opioid Antagonist</w:t>
      </w:r>
      <w:r>
        <w:rPr>
          <w:rFonts w:cstheme="minorHAnsi"/>
          <w:color w:val="000000"/>
        </w:rPr>
        <w:t xml:space="preserve">: </w:t>
      </w:r>
      <w:hyperlink r:id="rId16" w:history="1">
        <w:r w:rsidRPr="003C39E9">
          <w:rPr>
            <w:rStyle w:val="Hyperlink"/>
            <w:rFonts w:cstheme="minorHAnsi"/>
            <w:b/>
            <w:bCs/>
          </w:rPr>
          <w:t>HB 1557</w:t>
        </w:r>
        <w:r w:rsidRPr="003C39E9">
          <w:rPr>
            <w:rStyle w:val="Hyperlink"/>
            <w:rFonts w:cstheme="minorHAnsi"/>
          </w:rPr>
          <w:t xml:space="preserve"> </w:t>
        </w:r>
        <w:r w:rsidRPr="003C39E9">
          <w:rPr>
            <w:rStyle w:val="Hyperlink"/>
            <w:rFonts w:cstheme="minorHAnsi"/>
            <w:b/>
            <w:bCs/>
          </w:rPr>
          <w:t>(P.A. 103-0020)</w:t>
        </w:r>
      </w:hyperlink>
      <w:r>
        <w:rPr>
          <w:rFonts w:cstheme="minorHAnsi"/>
          <w:color w:val="000000"/>
        </w:rPr>
        <w:t xml:space="preserve"> (Williams/Villa) is a bil</w:t>
      </w:r>
      <w:r w:rsidRPr="003C39E9">
        <w:rPr>
          <w:rFonts w:cstheme="minorHAnsi"/>
          <w:color w:val="000000"/>
        </w:rPr>
        <w:t>l that passed both chambers. Amends the Casualty Insurance, Fidelity Bonds, and Surety Contracts Article of the Illinois Insurance Code. Provides that an insurer that is licensed and authorized to do business in the State of Illinois shall consider an applicant's or insured's compliance with the amendatory Act when providing commercial liability insurance to a music venue. Amends the Liquor Control Act of 1934. Provides that if a licensee operates as a music venue, the licensee shall ensure that, during its hours of operation as a music venue, it or the music venue operator has opioid antagonists available at the premises and that there is a staff member on the premises who has been sufficiently trained on how to properly administer an opioid antagonist. Provides that a licensee or music venue operator and a person who is sufficiently trained and in good faith administers or provides an opioid antagonist in accordance with the provisions, shall not, as a result of the person's acts or omissions, except willful or wanton misconduct on the part of the person, in administering or providing the opioid antagonist, be liable for civil damages. Defines "music venue". Effective June 1, 2024.</w:t>
      </w:r>
    </w:p>
    <w:p w14:paraId="1444C8F3" w14:textId="77777777" w:rsidR="004D3DE2" w:rsidRDefault="004D3DE2" w:rsidP="00A161BF">
      <w:pPr>
        <w:rPr>
          <w:b/>
          <w:bCs/>
          <w:sz w:val="28"/>
          <w:szCs w:val="28"/>
        </w:rPr>
      </w:pPr>
      <w:bookmarkStart w:id="0" w:name="_Hlk138772578"/>
    </w:p>
    <w:p w14:paraId="09BE2BD8" w14:textId="67A73262" w:rsidR="00A161BF" w:rsidRPr="00CF7043" w:rsidRDefault="00A161BF" w:rsidP="00A161BF">
      <w:pPr>
        <w:rPr>
          <w:b/>
          <w:bCs/>
          <w:sz w:val="28"/>
          <w:szCs w:val="28"/>
        </w:rPr>
      </w:pPr>
      <w:r w:rsidRPr="00CF7043">
        <w:rPr>
          <w:b/>
          <w:bCs/>
          <w:sz w:val="28"/>
          <w:szCs w:val="28"/>
        </w:rPr>
        <w:t>Health Insurance Bills:</w:t>
      </w:r>
    </w:p>
    <w:p w14:paraId="5FA4BD62" w14:textId="4A8B9C89" w:rsidR="00A161BF" w:rsidRPr="00CF2E49" w:rsidRDefault="00A161BF" w:rsidP="00A161BF">
      <w:r w:rsidRPr="008A4C2D">
        <w:rPr>
          <w:rStyle w:val="Strong"/>
        </w:rPr>
        <w:t xml:space="preserve">State-based Health Insurance Exchange: Legislation </w:t>
      </w:r>
      <w:r w:rsidRPr="00F9181F">
        <w:rPr>
          <w:rStyle w:val="Strong"/>
        </w:rPr>
        <w:t xml:space="preserve">to create a state based health insurance exchange passed both houses </w:t>
      </w:r>
      <w:r w:rsidRPr="00F9181F">
        <w:t xml:space="preserve">- </w:t>
      </w:r>
      <w:hyperlink r:id="rId17" w:history="1">
        <w:r w:rsidRPr="00785195">
          <w:rPr>
            <w:rStyle w:val="Hyperlink"/>
            <w:b/>
            <w:bCs/>
          </w:rPr>
          <w:t>HB 579</w:t>
        </w:r>
      </w:hyperlink>
      <w:r w:rsidRPr="00F9181F">
        <w:t xml:space="preserve"> (Gabel/Gillespie).  As amended in the Senate,</w:t>
      </w:r>
      <w:r w:rsidR="004D3DE2">
        <w:t xml:space="preserve"> and passed by both chambers, grants the Illinois Department of Insurance to create the Health Benefits Exchange. T</w:t>
      </w:r>
      <w:r w:rsidRPr="00F9181F">
        <w:t>he appointment of the Marketplace Director and of the 10 public members will be made by</w:t>
      </w:r>
      <w:r w:rsidRPr="000B3A55">
        <w:t xml:space="preserve"> the Governor with the advice and consent of the Senate. Authorizes the Department of Insurance to issue rules to require that plans offered on the exchange conform with standardized plan designs. Makes a change concerning the purpose of the assessment. Caps the assessment at 3.5%</w:t>
      </w:r>
      <w:r>
        <w:t xml:space="preserve">.  </w:t>
      </w:r>
      <w:r w:rsidRPr="004A1B37">
        <w:t>HB 579 passed both houses and heads to the Governor’s desk.</w:t>
      </w:r>
    </w:p>
    <w:p w14:paraId="4E02301E" w14:textId="47DE279A" w:rsidR="00A161BF" w:rsidRDefault="00A161BF" w:rsidP="00A161BF">
      <w:r w:rsidRPr="006448F8">
        <w:rPr>
          <w:b/>
          <w:bCs/>
        </w:rPr>
        <w:t>Health Insurance Rate Review</w:t>
      </w:r>
      <w:r>
        <w:t xml:space="preserve">: </w:t>
      </w:r>
      <w:hyperlink r:id="rId18" w:history="1">
        <w:r w:rsidR="00B522EE" w:rsidRPr="00B522EE">
          <w:rPr>
            <w:rStyle w:val="Hyperlink"/>
            <w:b/>
            <w:bCs/>
          </w:rPr>
          <w:t>HB 2296</w:t>
        </w:r>
      </w:hyperlink>
      <w:r w:rsidR="00B522EE">
        <w:t xml:space="preserve"> </w:t>
      </w:r>
      <w:r>
        <w:t xml:space="preserve">(Gabel/Fine), </w:t>
      </w:r>
      <w:r w:rsidR="004D3DE2">
        <w:t>passed both chambers and</w:t>
      </w:r>
      <w:r>
        <w:t xml:space="preserve"> </w:t>
      </w:r>
      <w:r w:rsidR="004D3DE2">
        <w:t>allows</w:t>
      </w:r>
      <w:r>
        <w:t xml:space="preserve"> the Department of Insurance the ability to review, modify or reject rate increases for all individual and small group accident and health insurance policies.  Requires the Department of Insurance (beginning before or on May 1, 2026, and annually thereafter) to report to the Governor and the General Assembly on health insurance coverage, affordability, and cost trends.  Provides that any forms and rates filed for large employer group accident and health insurance shall be automatically deemed approved after 90 days after filing. </w:t>
      </w:r>
      <w:r w:rsidRPr="00C70302">
        <w:t>HB 2296 passed both houses and heads to the Governor’s desk.</w:t>
      </w:r>
    </w:p>
    <w:p w14:paraId="44FCCEBB" w14:textId="77777777" w:rsidR="00A161BF" w:rsidRDefault="00A161BF" w:rsidP="00A161BF">
      <w:r w:rsidRPr="009013FA">
        <w:rPr>
          <w:b/>
          <w:bCs/>
        </w:rPr>
        <w:t xml:space="preserve">Medicaid/Healthcare Omnibus: </w:t>
      </w:r>
      <w:r>
        <w:t xml:space="preserve"> </w:t>
      </w:r>
      <w:hyperlink r:id="rId19">
        <w:r w:rsidRPr="00785195">
          <w:rPr>
            <w:rStyle w:val="Hyperlink"/>
            <w:b/>
            <w:bCs/>
          </w:rPr>
          <w:t>SB 1298</w:t>
        </w:r>
      </w:hyperlink>
      <w:r>
        <w:t xml:space="preserve"> (Gillespie/Gabel) represents the 2024 omnibus Medicaid and Healthcare package. The legislation provides rate increases for various provider types (beginning January 1,2024) including:  inpatient; substance use disorder treatment; across the board rate increases for hospitals; long-acting reversible contraceptives; SLFs; FQHCs; nursing services for medically fragile and technology dependent children; nursing home support; ventilator care in nursing homes; occupational, physical and speech therapies; ground and air ambulances; adult day services; medically complex and developmentally disabled </w:t>
      </w:r>
      <w:r w:rsidRPr="00810181">
        <w:t>individuals; and</w:t>
      </w:r>
      <w:r>
        <w:t xml:space="preserve"> to support a $17/hour wage for homecare workers in the Community Care Program. </w:t>
      </w:r>
    </w:p>
    <w:p w14:paraId="3193C1FD" w14:textId="77777777" w:rsidR="00A161BF" w:rsidRDefault="00A161BF" w:rsidP="00A161BF">
      <w:r>
        <w:t xml:space="preserve">The legislation also creates a new billing code for dementia assessment and care planning as well as gives IDFPR rulemaking to implement the limited licensure for international medical graduates. </w:t>
      </w:r>
    </w:p>
    <w:p w14:paraId="0C85C986" w14:textId="77777777" w:rsidR="00A161BF" w:rsidRDefault="00A161BF" w:rsidP="00A161BF">
      <w:r>
        <w:t xml:space="preserve">Allows the Department of Healthcare and Family Services to implement emergency rules for the Healthcare for Immigrant Adults program which will allow the Department the flexibility and tools to manage costs within the program. </w:t>
      </w:r>
    </w:p>
    <w:p w14:paraId="0390DF84" w14:textId="77777777" w:rsidR="00A161BF" w:rsidRDefault="00A161BF" w:rsidP="00A161BF">
      <w:r>
        <w:t>The legislation authorizes telehealth services for developmentally disabled individuals and authorizes subclinical professionals at FQHCs to be reimbursed for services.  The legislation also makes technical changes for HFS, DOA and DOI. SB 1298 passed both houses and heads to the Governor desk.</w:t>
      </w:r>
    </w:p>
    <w:p w14:paraId="5B8B4AB7" w14:textId="21C99353" w:rsidR="00A161BF" w:rsidRDefault="00A161BF" w:rsidP="00C52150">
      <w:pPr>
        <w:rPr>
          <w:rFonts w:cstheme="minorHAnsi"/>
          <w:color w:val="000000"/>
        </w:rPr>
      </w:pPr>
      <w:r w:rsidRPr="00A161BF">
        <w:rPr>
          <w:b/>
          <w:bCs/>
        </w:rPr>
        <w:t xml:space="preserve">HMO Referral System: </w:t>
      </w:r>
      <w:hyperlink r:id="rId20" w:history="1">
        <w:r w:rsidRPr="00A161BF">
          <w:rPr>
            <w:rStyle w:val="Hyperlink"/>
            <w:b/>
            <w:bCs/>
          </w:rPr>
          <w:t>HB 1186</w:t>
        </w:r>
      </w:hyperlink>
      <w:r>
        <w:t xml:space="preserve"> (Croke/Fine) is a </w:t>
      </w:r>
      <w:r w:rsidRPr="00A161BF">
        <w:rPr>
          <w:rFonts w:cstheme="minorHAnsi"/>
        </w:rPr>
        <w:t xml:space="preserve">bill that passed both chambers. </w:t>
      </w:r>
      <w:r w:rsidRPr="00A161BF">
        <w:rPr>
          <w:rFonts w:cstheme="minorHAnsi"/>
          <w:color w:val="000000"/>
        </w:rPr>
        <w:t>Amends the Health Maintenance Organization Act. Provides that the powers of a health maintenance organization include the voluntary use of a referral system for enrollees to access providers under contract with or employed by the health maintenance organization. Provides that the provisions shall not be construed as requiring the use of a referral system to obtain a certificate of authority. Changes the definition of "health care plan". Defines "referral system". Provides that the Director may prescribe by rule the language that must be included in the plan name, marketing, advertising, or other consumer disclosure requirements to differentiate a health care plan that does not use a referral system for such providers from a health care plan that does use a referral system for such providers. Provides that the provisions shall not be construed as requiring the use of a referral system with the health maintenance organization's contracted or employed providers to obtain a certificate of authority. Effective January 1, 2024.</w:t>
      </w:r>
    </w:p>
    <w:p w14:paraId="158CF60F" w14:textId="642B7AAD" w:rsidR="00A161BF" w:rsidRDefault="00A161BF" w:rsidP="00C52150">
      <w:pPr>
        <w:rPr>
          <w:rFonts w:cstheme="minorHAnsi"/>
          <w:color w:val="000000"/>
        </w:rPr>
      </w:pPr>
      <w:r w:rsidRPr="00A161BF">
        <w:rPr>
          <w:rFonts w:cstheme="minorHAnsi"/>
          <w:b/>
          <w:bCs/>
          <w:color w:val="000000"/>
        </w:rPr>
        <w:t xml:space="preserve">Insurance Reconstructive Services: </w:t>
      </w:r>
      <w:hyperlink r:id="rId21" w:history="1">
        <w:r w:rsidRPr="00A161BF">
          <w:rPr>
            <w:rStyle w:val="Hyperlink"/>
            <w:rFonts w:cstheme="minorHAnsi"/>
            <w:b/>
            <w:bCs/>
          </w:rPr>
          <w:t>HB 1384</w:t>
        </w:r>
      </w:hyperlink>
      <w:r>
        <w:rPr>
          <w:rFonts w:cstheme="minorHAnsi"/>
          <w:color w:val="000000"/>
        </w:rPr>
        <w:t xml:space="preserve"> (Cassidy/Loughran Cappel) is a bill that passed both </w:t>
      </w:r>
      <w:r w:rsidRPr="00A161BF">
        <w:rPr>
          <w:rFonts w:cstheme="minorHAnsi"/>
          <w:color w:val="000000"/>
        </w:rPr>
        <w:t>chambers. Amends the Accident and Health Insurance Article of the Illinois Insurance Code. Provides that a group or individual policy of accident and health insurance that is amended, delivered, issued, or renewed on or after January 1, 2025, may not deny coverage for medically necessary reconstructive services that are intended to restore physical appearance. Amends the Medical Assistance Article of the Illinois Public Aid Code. Provides that medically necessary reconstructive services that are intended to restore physical appearance shall be covered under the medical assistance program for persons who are otherwise eligible for medical assistance.</w:t>
      </w:r>
    </w:p>
    <w:p w14:paraId="7FFB1C6A" w14:textId="7FC8366B" w:rsidR="00A161BF" w:rsidRDefault="00A161BF" w:rsidP="00C52150">
      <w:pPr>
        <w:rPr>
          <w:rFonts w:cstheme="minorHAnsi"/>
          <w:color w:val="000000"/>
        </w:rPr>
      </w:pPr>
      <w:r w:rsidRPr="00A161BF">
        <w:rPr>
          <w:rFonts w:cstheme="minorHAnsi"/>
          <w:b/>
          <w:bCs/>
          <w:color w:val="000000"/>
        </w:rPr>
        <w:t xml:space="preserve">Insurance Vaginal Estrogen Coverage: </w:t>
      </w:r>
      <w:hyperlink r:id="rId22" w:history="1">
        <w:r w:rsidRPr="00A161BF">
          <w:rPr>
            <w:rStyle w:val="Hyperlink"/>
            <w:rFonts w:cstheme="minorHAnsi"/>
            <w:b/>
            <w:bCs/>
          </w:rPr>
          <w:t>HB 1565</w:t>
        </w:r>
      </w:hyperlink>
      <w:r>
        <w:rPr>
          <w:rFonts w:cstheme="minorHAnsi"/>
          <w:color w:val="000000"/>
        </w:rPr>
        <w:t xml:space="preserve"> (Stuart/Loughran Cappel) is a </w:t>
      </w:r>
      <w:r w:rsidRPr="00A161BF">
        <w:rPr>
          <w:rFonts w:cstheme="minorHAnsi"/>
          <w:color w:val="000000"/>
        </w:rPr>
        <w:t>bill that passed both chambers.  Provides that if (rather than if an individual's attending provider recommends) a particular vaginal estrogen product or its therapeutic equivalent version approved by the United States Food and Drug Administration is determined to be medically necessary (rather than based on the provider's determination), the issuer must cover that service or item pursuant to the cost-sharing requirement in specified provisions (rather than without cost sharing). Provides that a policy subject to the provisions shall not impose a deductible, coinsurance, copayment, or any other cost-sharing requirement that exceeds any deductible, coinsurance, copayment, or any other cost-sharing requirement imposed on any prescription drug authorized for the treatment of erectile dysfunction covered by the policy (rather than on the coverage provided). Removes language providing that a policy is not required to include all therapeutic equivalent versions of vaginal estrogen in its formulary so long as at least one is included and covered without cost sharing and in accordance with the provisions. Provides that a group or individual policy of accident and health insurance or a managed care plan that is amended, delivered, issued, or renewed on or after January 1, 2025, and that provides coverage for prescription drugs shall include coverage for one or more therapeutic equivalent versions of vaginal estrogen in its formulary.</w:t>
      </w:r>
    </w:p>
    <w:p w14:paraId="3544FE67" w14:textId="3F4FFC9A" w:rsidR="00420DBC" w:rsidRDefault="00740C13" w:rsidP="00C52150">
      <w:pPr>
        <w:rPr>
          <w:rFonts w:cstheme="minorHAnsi"/>
          <w:color w:val="000000"/>
        </w:rPr>
      </w:pPr>
      <w:r w:rsidRPr="00740C13">
        <w:rPr>
          <w:rFonts w:cstheme="minorHAnsi"/>
          <w:b/>
          <w:bCs/>
          <w:color w:val="000000"/>
        </w:rPr>
        <w:t xml:space="preserve">Access to Public Health Data: </w:t>
      </w:r>
      <w:hyperlink r:id="rId23" w:history="1">
        <w:r w:rsidRPr="00740C13">
          <w:rPr>
            <w:rStyle w:val="Hyperlink"/>
            <w:rFonts w:cstheme="minorHAnsi"/>
            <w:b/>
            <w:bCs/>
          </w:rPr>
          <w:t>HB 2039</w:t>
        </w:r>
      </w:hyperlink>
      <w:r>
        <w:rPr>
          <w:rFonts w:cstheme="minorHAnsi"/>
          <w:color w:val="000000"/>
        </w:rPr>
        <w:t xml:space="preserve"> (Moeller/Villa) is a bill th</w:t>
      </w:r>
      <w:r w:rsidRPr="005907DE">
        <w:rPr>
          <w:rFonts w:cstheme="minorHAnsi"/>
          <w:color w:val="000000"/>
        </w:rPr>
        <w:t xml:space="preserve">at passed both chambers. </w:t>
      </w:r>
      <w:r w:rsidR="005907DE" w:rsidRPr="005907DE">
        <w:rPr>
          <w:rFonts w:cstheme="minorHAnsi"/>
          <w:color w:val="000000"/>
        </w:rPr>
        <w:t xml:space="preserve">Creates the Access to Public Health Data Act. Provides that the Department of Public Health, the Department of Human Services, and the Department of Children and Family Services shall, at the request of a local health department in Illinois, make any and all public health data related to residents of that local health department's jurisdiction available to that local health department for the purposes of preventing or controlling disease, injury, or disability. Provides that the Department of Public Health, the Department of Human Services, and the Department of Healthcare and Family Services may adopt any rules necessary to implement the Act. Exempts specified information from inspection and copying under the Freedom of Information Act and makes a conforming change in that Act. Provides that no rule adopted by the Department of Public Health shall be construed as restricting access to vital records by any municipality, county, multicounty, public health district, or regional health officer recognized by the Department for the purposes described in specified provisions. Provides that the Department of Public Health, the Department of Human Services, and the Department of Healthcare and Family Services must provide the latest available data for each certified local health department within 120 business days after completion of the applicable master data use agreement, except to the extent prohibited by current technology (rather than within 90 business days after receiving the data request form). Removes provisions concerning standard request data forms. Provides that each disclosing State department or agency (rather than only department) shall execute a single master data use agreement that includes all data sets and is in accordance with the applicable laws, rules, and regulations pertaining to the specific data being requested. Provides that the State department or agency may require the names of any authorized users who will access or use the data provided. Provides that any data shared between State departments and agencies that is requested by a certified local health department shall be reviewed and approved by the State department or agency providing the data to ensure that all disclosures are made in accordance with procedures set forth in the data use agreements. </w:t>
      </w:r>
      <w:r w:rsidR="005907DE">
        <w:rPr>
          <w:rFonts w:cstheme="minorHAnsi"/>
          <w:color w:val="000000"/>
        </w:rPr>
        <w:t>Effective</w:t>
      </w:r>
      <w:r w:rsidR="005907DE" w:rsidRPr="005907DE">
        <w:rPr>
          <w:rFonts w:cstheme="minorHAnsi"/>
          <w:color w:val="000000"/>
        </w:rPr>
        <w:t xml:space="preserve"> January 1, 2024.</w:t>
      </w:r>
    </w:p>
    <w:p w14:paraId="1084651F" w14:textId="37759126" w:rsidR="005907DE" w:rsidRDefault="005907DE" w:rsidP="00C52150">
      <w:pPr>
        <w:rPr>
          <w:rFonts w:cstheme="minorHAnsi"/>
          <w:color w:val="000000"/>
        </w:rPr>
      </w:pPr>
      <w:r w:rsidRPr="005907DE">
        <w:rPr>
          <w:rFonts w:cstheme="minorHAnsi"/>
          <w:b/>
          <w:bCs/>
          <w:color w:val="000000"/>
        </w:rPr>
        <w:t xml:space="preserve">Insurance Dental Network Plan Change: </w:t>
      </w:r>
      <w:hyperlink r:id="rId24" w:history="1">
        <w:r w:rsidRPr="005907DE">
          <w:rPr>
            <w:rStyle w:val="Hyperlink"/>
            <w:rFonts w:cstheme="minorHAnsi"/>
            <w:b/>
            <w:bCs/>
          </w:rPr>
          <w:t>HB 2072 (P.A. 103-0024)</w:t>
        </w:r>
      </w:hyperlink>
      <w:r>
        <w:rPr>
          <w:rFonts w:cstheme="minorHAnsi"/>
          <w:color w:val="000000"/>
        </w:rPr>
        <w:t xml:space="preserve"> (Gong-Gershowitz/Fi</w:t>
      </w:r>
      <w:r w:rsidRPr="005907DE">
        <w:rPr>
          <w:rFonts w:cstheme="minorHAnsi"/>
          <w:color w:val="000000"/>
        </w:rPr>
        <w:t>ne) is a bill that passed both chambers. Amends the Illinois Insurance Code. Provides that no dental carrier may automatically enroll a provider in a leased network without allowing any provider that is part of the dental carrier's provider network to choose to not participate by opting out. Provides that the provisions do not apply if access to a provider network contract is granted to a dental carrier or an entity operating in accordance with the same brand licensee program as the contracting entity or to a provider network contract for dental services provided to beneficiaries of specified health plans. Provides that any contract entered into or renewed on or after the effective date of the amendatory Act that allows the rights and obligations of the contract to be assigned or leased to another insurer shall provide for notice that informs each provider in writing via certified mail 60 days before any scheduled assignment or lease of the network to which the provider is a contracted provider (rather than shall provide notice of that assignment or lease within 30 days after the assignment or lease to the contracting dentist). Provides that no insurer, dental service plan corporation, professional service corporation, insurance network leasing company, or any company that amends, delivers, issues, or renews an individual or group policy of accident and health insurance on or after the effective date of the amendatory Act shall require a dental care provider to incur a fee to access and obtain payment or reimbursement for services provided. Provides that a dental plan carrier shall provide a dental care provider with 100% of the contracted amount of the payment or reimbursement. Provides that fees incurred directly by a dental care provider from third parties related to transmitting an automated clearing house network claim, transaction management, data management, or portal services and other fees charged by third parties that are not in the control of the dental plan carrier shall not be prohibited by the provisions.</w:t>
      </w:r>
    </w:p>
    <w:p w14:paraId="0E9CDADB" w14:textId="792D75DA" w:rsidR="005907DE" w:rsidRDefault="005907DE" w:rsidP="00C52150">
      <w:pPr>
        <w:rPr>
          <w:rFonts w:cstheme="minorHAnsi"/>
          <w:color w:val="000000"/>
        </w:rPr>
      </w:pPr>
      <w:r w:rsidRPr="005907DE">
        <w:rPr>
          <w:rFonts w:cstheme="minorHAnsi"/>
          <w:b/>
          <w:bCs/>
          <w:color w:val="000000"/>
        </w:rPr>
        <w:t xml:space="preserve">Access to Affordable Insulin: </w:t>
      </w:r>
      <w:hyperlink r:id="rId25" w:history="1">
        <w:r w:rsidRPr="005907DE">
          <w:rPr>
            <w:rStyle w:val="Hyperlink"/>
            <w:rFonts w:cstheme="minorHAnsi"/>
            <w:b/>
            <w:bCs/>
          </w:rPr>
          <w:t>HB 2189</w:t>
        </w:r>
      </w:hyperlink>
      <w:r>
        <w:rPr>
          <w:rFonts w:cstheme="minorHAnsi"/>
          <w:color w:val="000000"/>
        </w:rPr>
        <w:t xml:space="preserve"> (Ladisch Douglass/Murphy) is </w:t>
      </w:r>
      <w:r w:rsidRPr="005907DE">
        <w:rPr>
          <w:rFonts w:cstheme="minorHAnsi"/>
          <w:color w:val="000000"/>
        </w:rPr>
        <w:t>a bill that passed both chambers. Creates the Access to Affordable Insulin Act. Sets forth provisions concerning an insulin urgent-need program. Provides that each manufacturer shall establish procedures to make insulin available to eligible individuals who are in urgent need of insulin or who are in need of assistance to access an affordable insulin supply. Sets forth provisions concerning insulin urgent-need program exceptions, eligibility, forms, applications, claims and reimbursement, copayments, information sheets, navigators, and penalties. Defines terms. Amends the Illinois Insurance Code. In provisions concerning cost sharing in prescription insulin drugs, provides that an insurer that provides coverage for prescription insulin drugs under the terms of a health coverage plan the insurer offers shall limit the total amount that an insured is required to pay for a 30-day supply of covered prescription insulin drugs at an amount not to exceed $35 (rather than $100). Provides that the Department of Insurance shall offer a discount program that allows participants to purchase insulin at a discounted, post-rebate price. Sets forth provisions concerning the insulin discount program. Defines terms. Effective July 1, 2025.</w:t>
      </w:r>
    </w:p>
    <w:p w14:paraId="0297831B" w14:textId="601D6D64" w:rsidR="00C577CC" w:rsidRDefault="00C577CC" w:rsidP="00C52150">
      <w:pPr>
        <w:rPr>
          <w:rFonts w:cstheme="minorHAnsi"/>
          <w:color w:val="000000"/>
        </w:rPr>
      </w:pPr>
      <w:r w:rsidRPr="00C577CC">
        <w:rPr>
          <w:rFonts w:cstheme="minorHAnsi"/>
          <w:b/>
          <w:bCs/>
          <w:color w:val="000000"/>
        </w:rPr>
        <w:t xml:space="preserve">Hearing Aid Coverage: </w:t>
      </w:r>
      <w:hyperlink r:id="rId26" w:history="1">
        <w:r w:rsidRPr="00C577CC">
          <w:rPr>
            <w:rStyle w:val="Hyperlink"/>
            <w:rFonts w:cstheme="minorHAnsi"/>
            <w:b/>
            <w:bCs/>
          </w:rPr>
          <w:t>HB 2443</w:t>
        </w:r>
      </w:hyperlink>
      <w:r>
        <w:rPr>
          <w:rFonts w:cstheme="minorHAnsi"/>
          <w:color w:val="000000"/>
        </w:rPr>
        <w:t xml:space="preserve"> (Chung/Koehler) is a bill that passed both chambers.</w:t>
      </w:r>
      <w:r w:rsidRPr="00C577CC">
        <w:rPr>
          <w:rFonts w:cstheme="minorHAnsi"/>
          <w:color w:val="000000"/>
        </w:rPr>
        <w:t xml:space="preserve"> Amends the Illinois Insurance Code. Provides that an individual or group policy of accident and health insurance or managed care plan that is amended, delivered, issued, or renewed after the effective date of the amendatory Act must provide coverage for medically necessary hearing instruments and related services for all individuals (rather than all individuals under the age of 18) when a hearing care professional prescribes a hearing instrument to augment communication. Makes conforming changes, including repealing provisions concerning optional coverage or optional reimbursement for hearing instruments and related services. Effective January 1, 2025.</w:t>
      </w:r>
    </w:p>
    <w:p w14:paraId="1D3C2B9E" w14:textId="1DB13AA2" w:rsidR="00C577CC" w:rsidRDefault="00C577CC" w:rsidP="00C52150">
      <w:pPr>
        <w:rPr>
          <w:rFonts w:cstheme="minorHAnsi"/>
          <w:color w:val="000000"/>
        </w:rPr>
      </w:pPr>
      <w:r w:rsidRPr="00C577CC">
        <w:rPr>
          <w:rFonts w:cstheme="minorHAnsi"/>
          <w:b/>
          <w:bCs/>
          <w:color w:val="000000"/>
        </w:rPr>
        <w:t xml:space="preserve">Fair Patient Billing: </w:t>
      </w:r>
      <w:hyperlink r:id="rId27" w:history="1">
        <w:r w:rsidRPr="008C640F">
          <w:rPr>
            <w:rStyle w:val="Hyperlink"/>
            <w:rFonts w:cstheme="minorHAnsi"/>
            <w:b/>
            <w:bCs/>
          </w:rPr>
          <w:t>HB 2719</w:t>
        </w:r>
      </w:hyperlink>
      <w:r>
        <w:rPr>
          <w:rFonts w:cstheme="minorHAnsi"/>
          <w:color w:val="000000"/>
        </w:rPr>
        <w:t xml:space="preserve"> (Avelar/Peters) is a bill that passed both </w:t>
      </w:r>
      <w:r w:rsidRPr="00C577CC">
        <w:rPr>
          <w:rFonts w:cstheme="minorHAnsi"/>
          <w:color w:val="000000"/>
        </w:rPr>
        <w:t>chambers.  Amends the Fair Patient Billing Act. Provides that a hospital shall screen each uninsured patient for eligibility in State and federal health insurance programs, financial assistance offered by the hospital, and other public programs that may assist with health care costs and provide information about those programs. For an insured patient, requires the hospital to screen the patient for discounted care in specified circumstances. Provides that the screenings and all follow-up assistance must be culturally competent, in the patient's primary language, in plain language, and in an accessible format. Requires a hospital to implement an operational plan and training relating to screenings. Prohibits hospitals from pursuing collection actions against uninsured patients if they have not completed the screening requirements. Includes a prohibition on the sale of medical debt, limitations on collection actions, penalties for violating the Act's provisions, and defenses against collection actions pursued in violation of the provisions. Makes other changes. Amends the Hospital Uninsured Patient Discount Act. Provides that a patient declining to apply for a public health insurance program on the basis of concern for immigration-related consequences shall not be grounds for denying financial assistance under a hospital's financial assistance policy.  Provides that information made available to the public shall include the number of uninsured patients who have declined or failed to respond to the screening described specified provisions and the 5 most frequent reasons for declining. Amends the Fair Patient Billing Act. Makes a change in provisions concerning legislative findings. Sets forth provisions concerning screening patients for health insurance and financial assistance. In provisions concerning hospitals pursuing collective action, provides that hospitals and their agents may pursue collective action against an uninsured patient only if the hospital has complied with the screening requirements set forth in specified provisions and exhausted any discount available to the patient under specified provisions. Provides that obligations of hospitals under the amendatory Act Defines terms. Amends the Hospital Uninsured Patient Discount Act. Provides that if a patient declines to apply for a public health insurance program on the basis of concern for immigration-related consequences, the hospital may refer the patient to a free, unbiased resource to address the patient's immigration-related concerns and assist in enrolling the patient in a public health insurance program. Provides that a hospital may still screen the patient for eligibility under its financial assistance policy. Provides that hospitals shall permit an uninsured patient to apply for a discount within 90 days of completion of the screening under specified provisions or denial of an application for a public health insurance program.</w:t>
      </w:r>
    </w:p>
    <w:p w14:paraId="5FDB8FE7" w14:textId="1942B5F2" w:rsidR="00C577CC" w:rsidRDefault="00C577CC" w:rsidP="00C52150">
      <w:pPr>
        <w:rPr>
          <w:rFonts w:cstheme="minorHAnsi"/>
          <w:color w:val="000000"/>
        </w:rPr>
      </w:pPr>
      <w:r w:rsidRPr="00C577CC">
        <w:rPr>
          <w:rFonts w:cstheme="minorHAnsi"/>
          <w:b/>
          <w:bCs/>
          <w:color w:val="000000"/>
        </w:rPr>
        <w:t xml:space="preserve">Proton Beam Therapy: </w:t>
      </w:r>
      <w:hyperlink r:id="rId28" w:history="1">
        <w:r w:rsidRPr="004A18BE">
          <w:rPr>
            <w:rStyle w:val="Hyperlink"/>
            <w:rFonts w:cstheme="minorHAnsi"/>
            <w:b/>
            <w:bCs/>
          </w:rPr>
          <w:t>HB 27</w:t>
        </w:r>
        <w:r w:rsidR="004A18BE" w:rsidRPr="004A18BE">
          <w:rPr>
            <w:rStyle w:val="Hyperlink"/>
            <w:rFonts w:cstheme="minorHAnsi"/>
            <w:b/>
            <w:bCs/>
          </w:rPr>
          <w:t>9</w:t>
        </w:r>
        <w:r w:rsidRPr="004A18BE">
          <w:rPr>
            <w:rStyle w:val="Hyperlink"/>
            <w:rFonts w:cstheme="minorHAnsi"/>
            <w:b/>
            <w:bCs/>
          </w:rPr>
          <w:t>9</w:t>
        </w:r>
      </w:hyperlink>
      <w:r>
        <w:rPr>
          <w:rFonts w:cstheme="minorHAnsi"/>
          <w:color w:val="000000"/>
        </w:rPr>
        <w:t xml:space="preserve"> (Hammond/Koehler) is a bill that passed both chambers. </w:t>
      </w:r>
      <w:r w:rsidR="004A18BE" w:rsidRPr="004A18BE">
        <w:rPr>
          <w:rFonts w:cstheme="minorHAnsi"/>
          <w:color w:val="000000"/>
        </w:rPr>
        <w:t>Provides that a group or individual policy of accident and health insurance or managed care plan that is amended, delivered, issued, or renewed on or after January 1, 2025 (rather than after the effective date of the amendatory Act) that provides coverage for the treatment of cancer shall not apply a higher standard of clinical evidence for the coverage of proton beam therapy than the insurer applies for the coverage of any other form of radiation therapy treatment. Provides that a group or individual policy of accident and health insurance or managed care plan that is amended, delivered, issued, or renewed on or after January 1, 2025 (rather than after the effective date of the amendatory Act) that provides coverage or benefits to any resident of the State for radiation oncology shall include coverage or benefits for medically necessary proton beam therapy for the treatment of cancer (rather than for physician-prescribed proton beam therapy for the treatment of cancer as recommended by the patient's physician). Defines "medically necessary". Effective January 1, 2024.</w:t>
      </w:r>
    </w:p>
    <w:p w14:paraId="623B0895" w14:textId="57FA0477" w:rsidR="008C640F" w:rsidRPr="008C640F" w:rsidRDefault="008C640F" w:rsidP="00C52150">
      <w:pPr>
        <w:rPr>
          <w:rFonts w:cstheme="minorHAnsi"/>
          <w:color w:val="000000"/>
        </w:rPr>
      </w:pPr>
      <w:r w:rsidRPr="008C640F">
        <w:rPr>
          <w:rFonts w:cstheme="minorHAnsi"/>
          <w:b/>
          <w:bCs/>
          <w:color w:val="000000"/>
        </w:rPr>
        <w:t xml:space="preserve">Mental Health Care Access: </w:t>
      </w:r>
      <w:hyperlink r:id="rId29" w:history="1">
        <w:r w:rsidRPr="008C640F">
          <w:rPr>
            <w:rStyle w:val="Hyperlink"/>
            <w:rFonts w:cstheme="minorHAnsi"/>
            <w:b/>
            <w:bCs/>
          </w:rPr>
          <w:t>HB 2847</w:t>
        </w:r>
      </w:hyperlink>
      <w:r>
        <w:rPr>
          <w:rFonts w:cstheme="minorHAnsi"/>
          <w:color w:val="000000"/>
        </w:rPr>
        <w:t xml:space="preserve"> (LaPointe/Fine) is </w:t>
      </w:r>
      <w:r w:rsidRPr="008C640F">
        <w:rPr>
          <w:rFonts w:cstheme="minorHAnsi"/>
          <w:color w:val="000000"/>
        </w:rPr>
        <w:t>a bill that passed both chambers. Creates the Mental Health and Wellness Act (rather than the Mental Health Equity Access and Prevention Act). In provisions concerning coverage of no-cost mental health prevention and wellness visits, provides that a mental health prevention and wellness visit shall be in addition to an annual physical examination. Provides that the Department of Insurance shall update current procedural terminology codes through adoption of rules if the codes listed in the provisions are altered, amended, changed, deleted, or supplemented. Provides that a mental health prevention and wellness visit may be incorporated into and reimbursed within any type of integrated primary care service delivery method. Provides that the Department shall adopt any rules necessary to implement the provisions by no later than October 31, 2024 (rather than 2023).  In provisions concerning coverage of no-cost mental health prevention and wellness visits, provides that a group or individual policy of accident and health insurance or managed care plan that is amended, delivered, issued, or renewed on or after January 1, 2025 shall provide coverage for one annual mental health prevention and wellness visit (rather than 2 annual mental health prevention and wellness visits) for children and for adults.</w:t>
      </w:r>
    </w:p>
    <w:p w14:paraId="060457CC" w14:textId="6CBC274A" w:rsidR="008C640F" w:rsidRDefault="008C640F" w:rsidP="00C52150">
      <w:pPr>
        <w:rPr>
          <w:rFonts w:cstheme="minorHAnsi"/>
          <w:color w:val="000000"/>
        </w:rPr>
      </w:pPr>
      <w:r w:rsidRPr="008C640F">
        <w:rPr>
          <w:rFonts w:cstheme="minorHAnsi"/>
          <w:b/>
          <w:bCs/>
          <w:color w:val="000000"/>
        </w:rPr>
        <w:t xml:space="preserve">Nonparticipating Providers: </w:t>
      </w:r>
      <w:hyperlink r:id="rId30" w:history="1">
        <w:r w:rsidRPr="008C640F">
          <w:rPr>
            <w:rStyle w:val="Hyperlink"/>
            <w:rFonts w:cstheme="minorHAnsi"/>
            <w:b/>
            <w:bCs/>
          </w:rPr>
          <w:t>HB 3030</w:t>
        </w:r>
      </w:hyperlink>
      <w:r w:rsidRPr="008C640F">
        <w:rPr>
          <w:rFonts w:cstheme="minorHAnsi"/>
          <w:color w:val="000000"/>
        </w:rPr>
        <w:t xml:space="preserve"> (Morgan/Morrison) is a bill that passed both chambers. Amends the Illinois Insurance Code. In provisions concerning billing for services provided by nonparticipating providers or facilities, provides that if attempts to negotiate reimbursement for services provided by a nonparticipating provider do not result in a resolution of the payment dispute within 30 days after receipt of written explanation of benefits by the health insurance issuer, then the health insurance issuer, nonparticipating provider, or the facility may initiate binding arbitration to determine payment for services provided on a per-bill or a batched-bill basis (instead of only a per-bill basis).</w:t>
      </w:r>
    </w:p>
    <w:p w14:paraId="64FFEE6D" w14:textId="55676E0F" w:rsidR="008C640F" w:rsidRDefault="008C640F" w:rsidP="00C52150">
      <w:pPr>
        <w:rPr>
          <w:rFonts w:cstheme="minorHAnsi"/>
          <w:color w:val="000000"/>
        </w:rPr>
      </w:pPr>
      <w:r w:rsidRPr="008C640F">
        <w:rPr>
          <w:rFonts w:cstheme="minorHAnsi"/>
          <w:b/>
          <w:bCs/>
          <w:color w:val="000000"/>
        </w:rPr>
        <w:t xml:space="preserve">Saliva Cancer Test: </w:t>
      </w:r>
      <w:hyperlink r:id="rId31" w:history="1">
        <w:r w:rsidRPr="008C640F">
          <w:rPr>
            <w:rStyle w:val="Hyperlink"/>
            <w:rFonts w:cstheme="minorHAnsi"/>
            <w:b/>
            <w:bCs/>
          </w:rPr>
          <w:t>HB 3202</w:t>
        </w:r>
      </w:hyperlink>
      <w:r>
        <w:rPr>
          <w:rFonts w:cstheme="minorHAnsi"/>
          <w:color w:val="000000"/>
        </w:rPr>
        <w:t xml:space="preserve"> (Sanalitro/Lewis) is a bill that </w:t>
      </w:r>
      <w:r w:rsidRPr="008C640F">
        <w:rPr>
          <w:rFonts w:cstheme="minorHAnsi"/>
          <w:color w:val="000000"/>
        </w:rPr>
        <w:t>passed both chambers.  Provides that an individual or group policy of accident and health insurance that is amended, delivered, issued, or renewed on or after January 1, 2025 shall cover a medically necessary home saliva cancer screening every 24 months if the patient is asymptomatic and at high risk for the disease being tested for or demonstrates symptoms of the disease being tested for at a physical exam (rather than shall cover a medically necessary home saliva cancer screening every 24 months). Removes provisions concerning the Illinois Public Aid Code.</w:t>
      </w:r>
    </w:p>
    <w:p w14:paraId="2DDFCB94" w14:textId="34822AB7" w:rsidR="008C640F" w:rsidRDefault="008C640F" w:rsidP="00C52150">
      <w:pPr>
        <w:rPr>
          <w:rStyle w:val="content"/>
          <w:rFonts w:ascii="Arial" w:hAnsi="Arial" w:cs="Arial"/>
          <w:color w:val="000000"/>
          <w:sz w:val="20"/>
          <w:szCs w:val="20"/>
        </w:rPr>
      </w:pPr>
      <w:r w:rsidRPr="00EA0A58">
        <w:rPr>
          <w:rFonts w:cstheme="minorHAnsi"/>
          <w:b/>
          <w:bCs/>
          <w:color w:val="000000"/>
        </w:rPr>
        <w:t xml:space="preserve">PBM Information Disclosure: </w:t>
      </w:r>
      <w:hyperlink r:id="rId32" w:history="1">
        <w:r w:rsidRPr="00EA0A58">
          <w:rPr>
            <w:rStyle w:val="Hyperlink"/>
            <w:rFonts w:cstheme="minorHAnsi"/>
            <w:b/>
            <w:bCs/>
          </w:rPr>
          <w:t>HB 3631</w:t>
        </w:r>
      </w:hyperlink>
      <w:r>
        <w:rPr>
          <w:rFonts w:cstheme="minorHAnsi"/>
          <w:color w:val="000000"/>
        </w:rPr>
        <w:t xml:space="preserve"> (</w:t>
      </w:r>
      <w:r w:rsidR="00EA0A58">
        <w:rPr>
          <w:rFonts w:cstheme="minorHAnsi"/>
          <w:color w:val="000000"/>
        </w:rPr>
        <w:t>Huynh/</w:t>
      </w:r>
      <w:r w:rsidR="00EA0A58" w:rsidRPr="00EA0A58">
        <w:rPr>
          <w:rFonts w:cstheme="minorHAnsi"/>
          <w:color w:val="000000"/>
        </w:rPr>
        <w:t xml:space="preserve">Simmons) </w:t>
      </w:r>
      <w:r w:rsidR="00EA0A58">
        <w:rPr>
          <w:rFonts w:cstheme="minorHAnsi"/>
          <w:color w:val="000000"/>
        </w:rPr>
        <w:t>is a bill that passed both chambers. The bill a</w:t>
      </w:r>
      <w:r w:rsidR="00EA0A58" w:rsidRPr="00EA0A58">
        <w:rPr>
          <w:rStyle w:val="content"/>
          <w:rFonts w:cstheme="minorHAnsi"/>
          <w:color w:val="000000"/>
        </w:rPr>
        <w:t>mends the Pharmacy Benefit Managers Article of the Illinois Insurance Code. Provides that a pharmacy benefit manager may not retaliate against a pharmacist or pharmacy for disclosing information in a court, in an administrative hearing, before a legislative commission or committee, in any other proceeding, or to a government or law enforcement agency, if the pharmacist or pharmacy has reasonable cause to believe that the disclosed information is evidence of a violation of a State or federal law, rule, or regulation. Provides that a pharmacist or pharmacy shall make commercially reasonable efforts to limit the disclosure of confidential and proprietary information. Provides that retaliatory actions against a pharmacy or pharmacist include specified actions. Provides that provisions apply to contracts into or renewed on or after July 1,</w:t>
      </w:r>
      <w:r w:rsidR="00EA0A58">
        <w:rPr>
          <w:rStyle w:val="content"/>
          <w:rFonts w:cstheme="minorHAnsi"/>
          <w:color w:val="000000"/>
        </w:rPr>
        <w:t xml:space="preserve"> </w:t>
      </w:r>
      <w:r w:rsidR="00EA0A58" w:rsidRPr="00EA0A58">
        <w:rPr>
          <w:rStyle w:val="content"/>
          <w:rFonts w:cstheme="minorHAnsi"/>
          <w:color w:val="000000"/>
        </w:rPr>
        <w:t>2022.</w:t>
      </w:r>
      <w:r w:rsidR="00EA0A58">
        <w:rPr>
          <w:rStyle w:val="content"/>
          <w:rFonts w:ascii="Arial" w:hAnsi="Arial" w:cs="Arial"/>
          <w:color w:val="000000"/>
          <w:sz w:val="20"/>
          <w:szCs w:val="20"/>
        </w:rPr>
        <w:t xml:space="preserve"> </w:t>
      </w:r>
    </w:p>
    <w:p w14:paraId="4595D7EB" w14:textId="3B5C730E" w:rsidR="00EA0A58" w:rsidRDefault="00EA0A58" w:rsidP="00C52150">
      <w:pPr>
        <w:rPr>
          <w:rFonts w:cstheme="minorHAnsi"/>
          <w:color w:val="000000"/>
        </w:rPr>
      </w:pPr>
      <w:r w:rsidRPr="00EA0A58">
        <w:rPr>
          <w:rStyle w:val="content"/>
          <w:rFonts w:cstheme="minorHAnsi"/>
          <w:b/>
          <w:bCs/>
          <w:color w:val="000000"/>
        </w:rPr>
        <w:t xml:space="preserve">Epinephrine Cost: </w:t>
      </w:r>
      <w:hyperlink r:id="rId33" w:history="1">
        <w:r w:rsidRPr="00EA0A58">
          <w:rPr>
            <w:rStyle w:val="Hyperlink"/>
            <w:rFonts w:cstheme="minorHAnsi"/>
            <w:b/>
            <w:bCs/>
          </w:rPr>
          <w:t>HB 3639</w:t>
        </w:r>
      </w:hyperlink>
      <w:r w:rsidRPr="00EA0A58">
        <w:rPr>
          <w:rStyle w:val="content"/>
          <w:rFonts w:cstheme="minorHAnsi"/>
          <w:color w:val="000000"/>
        </w:rPr>
        <w:t xml:space="preserve"> (Mason/Halpin) is a bill that passed both chambers. </w:t>
      </w:r>
      <w:r w:rsidRPr="00EA0A58">
        <w:rPr>
          <w:rFonts w:cstheme="minorHAnsi"/>
          <w:color w:val="000000"/>
        </w:rPr>
        <w:t> Amends the Accident and Health Article of the Illinois Insurance Code. Provides that an insurer that provides coverage for medically necessary epinephrine injectors shall limit the total amount that an insured is required to pay for a twin-pack of medically necessary epinephrine injectors at an amount not to exceed $60, regardless of the type of epinephrine injector. Provides that nothing in the provisions prevents an insurer from reducing an insured's cost sharing by an amount greater than the specified amount. Provides that the Department of Insurance may adopt rules as necessary to implement and administer the provisions. Effective January 1, 2025.</w:t>
      </w:r>
    </w:p>
    <w:p w14:paraId="4F0501EB" w14:textId="39E40B1E" w:rsidR="00EA0A58" w:rsidRDefault="00EA0A58" w:rsidP="00C52150">
      <w:pPr>
        <w:rPr>
          <w:rFonts w:cstheme="minorHAnsi"/>
          <w:color w:val="000000"/>
        </w:rPr>
      </w:pPr>
      <w:r w:rsidRPr="00EA0A58">
        <w:rPr>
          <w:rFonts w:cstheme="minorHAnsi"/>
          <w:b/>
          <w:bCs/>
          <w:color w:val="000000"/>
        </w:rPr>
        <w:t xml:space="preserve">Impaired Children: </w:t>
      </w:r>
      <w:hyperlink r:id="rId34" w:history="1">
        <w:r w:rsidRPr="00EA0A58">
          <w:rPr>
            <w:rStyle w:val="Hyperlink"/>
            <w:rFonts w:cstheme="minorHAnsi"/>
            <w:b/>
            <w:bCs/>
          </w:rPr>
          <w:t>HB 3809</w:t>
        </w:r>
      </w:hyperlink>
      <w:r>
        <w:rPr>
          <w:rFonts w:cstheme="minorHAnsi"/>
          <w:color w:val="000000"/>
        </w:rPr>
        <w:t xml:space="preserve"> (DeLuca/Joyce) </w:t>
      </w:r>
      <w:r w:rsidRPr="00EA0A58">
        <w:rPr>
          <w:rFonts w:cstheme="minorHAnsi"/>
          <w:color w:val="000000"/>
        </w:rPr>
        <w:t>is a bill that passed both chambers. Provides that a group or individual policy of accident and health insurance amended, delivered, issued, or renewed on or after January 1, 2025 (rather than the effective date of the amendatory Act) shall provide coverage for therapy, diagnostic testing, and equipment necessary to increase quality of life for children who have been clinically or genetically diagnosed with any disease, syndrome, or disorder that includes low tone neuromuscular impairment, neurological impairment, or cognitive impairment. Removes language providing that the coverage shall include 315 combined therapy sessions per year.</w:t>
      </w:r>
    </w:p>
    <w:p w14:paraId="01EAB95D" w14:textId="1D0163AC" w:rsidR="00EA0A58" w:rsidRDefault="00EA0A58" w:rsidP="00C52150">
      <w:pPr>
        <w:rPr>
          <w:rFonts w:cstheme="minorHAnsi"/>
          <w:color w:val="000000"/>
        </w:rPr>
      </w:pPr>
      <w:r w:rsidRPr="00EA0A58">
        <w:rPr>
          <w:rFonts w:cstheme="minorHAnsi"/>
          <w:b/>
          <w:bCs/>
          <w:color w:val="000000"/>
        </w:rPr>
        <w:t xml:space="preserve">Generic Drug Prices: </w:t>
      </w:r>
      <w:hyperlink r:id="rId35" w:history="1">
        <w:r w:rsidRPr="00EA0A58">
          <w:rPr>
            <w:rStyle w:val="Hyperlink"/>
            <w:rFonts w:cstheme="minorHAnsi"/>
            <w:b/>
            <w:bCs/>
          </w:rPr>
          <w:t>HB 3957</w:t>
        </w:r>
      </w:hyperlink>
      <w:r>
        <w:rPr>
          <w:rFonts w:cstheme="minorHAnsi"/>
          <w:color w:val="000000"/>
        </w:rPr>
        <w:t xml:space="preserve"> (Syed/Koehler) is a </w:t>
      </w:r>
      <w:r w:rsidRPr="00EA0A58">
        <w:rPr>
          <w:rFonts w:cstheme="minorHAnsi"/>
          <w:color w:val="000000"/>
        </w:rPr>
        <w:t>bill that passed both chambers. Provides that the Director of Healthcare and Family Services or Director of Central Management Services shall (rather than may) notify the Attorney General of any increase in the price of any essential off-patent or generic drug under the Medical Assistance Program under the Illinois Public Aid Code or a State health plan, respectively, that amounts to price gouging. Provides that a notice sent by the Attorney General to the manufacturer or wholesale drug distributor of an essential off-patent or generic drug shall serve as a litigation hold regarding documents and communications about that drug. Provides that upon petition of the Attorney General, a circuit court may issue an order imposing a civil penalty of up to $10,000 per day (rather than only $10,000) for each violation of the Act or providing for the Attorney General's recovery of costs and disbursements incurred in bringing an action against a manufacturer found to be in violation of the Act. Provides that if the Attorney General has reason to believe that a manufacturer or wholesale drug distributor of an essential off-patent or generic drug has violated the provisions, then the Attorney General may (rather than shall) send a notice to the manufacturer or the wholesale drug distributor requesting a statement. Removes language providing that the Director of Central Management Services shall notify the Attorney General of any increase in the price of any essential off-patent or generic drug under the State health plan that amounts to price gouging. Effective January 1, 2024.</w:t>
      </w:r>
    </w:p>
    <w:p w14:paraId="5AD8D64D" w14:textId="1F6D4128" w:rsidR="00EA0A58" w:rsidRDefault="002C2593" w:rsidP="00C52150">
      <w:pPr>
        <w:rPr>
          <w:rFonts w:cstheme="minorHAnsi"/>
          <w:color w:val="000000"/>
        </w:rPr>
      </w:pPr>
      <w:r w:rsidRPr="002C2593">
        <w:rPr>
          <w:rFonts w:cstheme="minorHAnsi"/>
          <w:b/>
          <w:bCs/>
          <w:color w:val="000000"/>
        </w:rPr>
        <w:t xml:space="preserve">Pediatric Autoimmune Coverage: </w:t>
      </w:r>
      <w:hyperlink r:id="rId36" w:history="1">
        <w:r w:rsidRPr="002C2593">
          <w:rPr>
            <w:rStyle w:val="Hyperlink"/>
            <w:rFonts w:cstheme="minorHAnsi"/>
            <w:b/>
            <w:bCs/>
          </w:rPr>
          <w:t>SB 101 (P.A. 103-0059)</w:t>
        </w:r>
      </w:hyperlink>
      <w:r>
        <w:rPr>
          <w:rFonts w:cstheme="minorHAnsi"/>
          <w:color w:val="000000"/>
        </w:rPr>
        <w:t xml:space="preserve"> (Fine/Gong-Gershowitz) is a </w:t>
      </w:r>
      <w:r w:rsidRPr="002C2593">
        <w:rPr>
          <w:rFonts w:cstheme="minorHAnsi"/>
          <w:color w:val="000000"/>
        </w:rPr>
        <w:t>bill that passed both chambers.  Amends the Illinois Insurance Code. Provides that no group or individual policy of accident and health insurance or managed care plan shall deny or delay coverage for medically necessary treatment because the insured, enrollee, or beneficiary previously received any treatment, including the same or similar treatment, for pediatric autoimmune neuropsychiatric disorders associated with streptococcal infections or pediatric acute onset neuropsychiatric syndrome, or because the insured, enrollee, or beneficiary has been diagnosed with or receives treatment for an otherwise diagnosed condition. Provides that coverage of pediatric autoimmune neuropsychiatric disorders associated with streptococcal infections and pediatric acute onset neuropsychiatric syndrome shall adhere to the treatment recommendations developed by a medical professional consortium convened for the purposes of researching, identifying, and publishing best practice standards for diagnosis and treatment of such disorders or syndrome that are accessible for medical professionals and are based on evidence of positive patient outcomes. Provides that coverage for any form of medically necessary treatment shall not be limited over the lifetime of an insured, enrollee, or beneficiary, unless the patient is no longer benefiting from the treatment, or by policy period. Provides that nothing in the provisions prevents insurers from requesting treatment notes and anticipated duration of treatment and outcomes. Effective immediately.</w:t>
      </w:r>
    </w:p>
    <w:p w14:paraId="3F592EE6" w14:textId="222A5044" w:rsidR="002C2593" w:rsidRDefault="002C2593" w:rsidP="00C52150">
      <w:pPr>
        <w:rPr>
          <w:rFonts w:cstheme="minorHAnsi"/>
          <w:color w:val="000000"/>
        </w:rPr>
      </w:pPr>
      <w:r w:rsidRPr="002C2593">
        <w:rPr>
          <w:rFonts w:cstheme="minorHAnsi"/>
          <w:b/>
          <w:bCs/>
        </w:rPr>
        <w:t xml:space="preserve">Coverage for Abortion/Hormone Therapy/HIV: </w:t>
      </w:r>
      <w:hyperlink r:id="rId37" w:history="1">
        <w:r w:rsidRPr="002C2593">
          <w:rPr>
            <w:rStyle w:val="Hyperlink"/>
            <w:rFonts w:cstheme="minorHAnsi"/>
            <w:b/>
            <w:bCs/>
          </w:rPr>
          <w:t>SB 1344</w:t>
        </w:r>
      </w:hyperlink>
      <w:r>
        <w:rPr>
          <w:rFonts w:cstheme="minorHAnsi"/>
        </w:rPr>
        <w:t xml:space="preserve"> (Villanueva/Cassidy</w:t>
      </w:r>
      <w:r w:rsidRPr="002C2593">
        <w:rPr>
          <w:rFonts w:cstheme="minorHAnsi"/>
        </w:rPr>
        <w:t xml:space="preserve">) is a bill that passed both chambers. </w:t>
      </w:r>
      <w:r>
        <w:rPr>
          <w:rFonts w:cstheme="minorHAnsi"/>
        </w:rPr>
        <w:t>The bill a</w:t>
      </w:r>
      <w:r w:rsidRPr="002C2593">
        <w:rPr>
          <w:rFonts w:cstheme="minorHAnsi"/>
          <w:color w:val="000000"/>
        </w:rPr>
        <w:t>mends the Illinois Insurance Code</w:t>
      </w:r>
      <w:r>
        <w:rPr>
          <w:rFonts w:cstheme="minorHAnsi"/>
          <w:color w:val="000000"/>
        </w:rPr>
        <w:t xml:space="preserve"> and p</w:t>
      </w:r>
      <w:r w:rsidRPr="002C2593">
        <w:rPr>
          <w:rFonts w:cstheme="minorHAnsi"/>
          <w:color w:val="000000"/>
        </w:rPr>
        <w:t>rovides that an individual or group policy of accident and health insurance amended, delivered, issued, or renewed in the State on or after (rather than only after) January 1, 2024 shall provide coverage for all abortifacients, hormonal therapy medication, human immunodeficiency virus pre-exposure prophylaxis, and post-exposure prophylaxis drugs approved by the United States Food and Drug Administration, and follow-up services related to that coverage. Provides that this coverage shall include drugs approved by the United States Food and Drug Administration that are prescribed or ordered for off-label use as abortifacients. Amends the Nurse Practice Act and the Physician Assistant Practice Act of 1987. In a provisions concerning temporary permits for specified health care professionals, provides that if the Department of Financial and Professional Regulation becomes aware of a violation occurring at a facility licensed by the Department of Public Health (rather than a licensed hospital, medical office, clinic, or other medical facility, or via telehealth service) the Department of Financial and Professional Regulation shall notify the Department of Public Health. Amends the Pharmacy Practice Act. Provides that in accordance with a standing order by the Department of Public Health, a pharmacist may provide patients with prophylaxis drugs for human immunodeficiency virus pre-exposure prophylaxis or post-exposure prophylaxis. Amends the Abortion Care Clinical Training Program Act and the Freedom of Information Act. Provides that all program performance reports received by the Department of Public Health concerning the Abortion Care Clinical Training Program shall be treated as confidential and exempt from the Freedom of Information Act. Effective immediately.</w:t>
      </w:r>
    </w:p>
    <w:p w14:paraId="19BEAC4A" w14:textId="02075DDA" w:rsidR="002C2593" w:rsidRDefault="002C2593" w:rsidP="00C52150">
      <w:pPr>
        <w:rPr>
          <w:rFonts w:cstheme="minorHAnsi"/>
          <w:color w:val="000000"/>
        </w:rPr>
      </w:pPr>
      <w:r w:rsidRPr="002C2593">
        <w:rPr>
          <w:rFonts w:cstheme="minorHAnsi"/>
          <w:b/>
          <w:bCs/>
          <w:color w:val="000000"/>
        </w:rPr>
        <w:t xml:space="preserve">Compression Sleeves: </w:t>
      </w:r>
      <w:hyperlink r:id="rId38" w:history="1">
        <w:r w:rsidRPr="002C2593">
          <w:rPr>
            <w:rStyle w:val="Hyperlink"/>
            <w:rFonts w:cstheme="minorHAnsi"/>
            <w:b/>
            <w:bCs/>
          </w:rPr>
          <w:t>SB 1527 (P.A. 103-0091)</w:t>
        </w:r>
      </w:hyperlink>
      <w:r>
        <w:rPr>
          <w:rFonts w:cstheme="minorHAnsi"/>
          <w:color w:val="000000"/>
        </w:rPr>
        <w:t xml:space="preserve"> (Ellman/Gill)</w:t>
      </w:r>
      <w:r w:rsidRPr="002C2593">
        <w:rPr>
          <w:rFonts w:cstheme="minorHAnsi"/>
          <w:color w:val="000000"/>
        </w:rPr>
        <w:t xml:space="preserve"> is a bill that passed both chambers. Provides that a group or individual policy of accident and health insurance or a managed care plan that is amended, delivered, issued, or renewed on or after January 1, 2025 (rather than January 1, 2024) shall provide coverage for compression sleeves that is medically necessary for the enrollee to prevent or mitigate lymphedema.</w:t>
      </w:r>
    </w:p>
    <w:p w14:paraId="22377574" w14:textId="5D6435EE" w:rsidR="002C2593" w:rsidRDefault="002C2593" w:rsidP="00C52150">
      <w:pPr>
        <w:rPr>
          <w:rFonts w:cstheme="minorHAnsi"/>
          <w:color w:val="000000"/>
        </w:rPr>
      </w:pPr>
      <w:r w:rsidRPr="002C2593">
        <w:rPr>
          <w:rFonts w:cstheme="minorHAnsi"/>
          <w:b/>
          <w:bCs/>
          <w:color w:val="000000"/>
        </w:rPr>
        <w:t xml:space="preserve">Parity/Disability: </w:t>
      </w:r>
      <w:hyperlink r:id="rId39" w:history="1">
        <w:r w:rsidRPr="002C2593">
          <w:rPr>
            <w:rStyle w:val="Hyperlink"/>
            <w:rFonts w:cstheme="minorHAnsi"/>
            <w:b/>
            <w:bCs/>
          </w:rPr>
          <w:t>SB 1568 (P.A. 103-0094)</w:t>
        </w:r>
      </w:hyperlink>
      <w:r>
        <w:rPr>
          <w:rFonts w:cstheme="minorHAnsi"/>
          <w:color w:val="000000"/>
        </w:rPr>
        <w:t xml:space="preserve"> (Morrison/Morgan) is a </w:t>
      </w:r>
      <w:r w:rsidRPr="002C2593">
        <w:rPr>
          <w:rFonts w:cstheme="minorHAnsi"/>
          <w:color w:val="000000"/>
        </w:rPr>
        <w:t>bill that passed both chambers. Amends the Illinois Insurance Code. Provides that the Department of Insurance shall collect specified information concerning disability insurance plans and limitations on mental health and substance use disorder benefits. Provides that the Department shall present its findings regarding information collected under the provisions to the General Assembly no later than April 30, 2024. Provides that information regarding a specific insurance provider's contributions to the Department's report is exempt from disclosure under a specified provision of the Freedom of Information Act.</w:t>
      </w:r>
    </w:p>
    <w:p w14:paraId="0A21A102" w14:textId="7D7A6A13" w:rsidR="002C2593" w:rsidRDefault="00AE0C35" w:rsidP="00C52150">
      <w:pPr>
        <w:rPr>
          <w:rFonts w:cstheme="minorHAnsi"/>
          <w:color w:val="000000"/>
        </w:rPr>
      </w:pPr>
      <w:r w:rsidRPr="00AE0C35">
        <w:rPr>
          <w:rFonts w:cstheme="minorHAnsi"/>
          <w:b/>
          <w:bCs/>
          <w:color w:val="000000"/>
        </w:rPr>
        <w:t xml:space="preserve">Guaranteed Income Exemption: </w:t>
      </w:r>
      <w:hyperlink r:id="rId40" w:history="1">
        <w:r w:rsidRPr="00AE0C35">
          <w:rPr>
            <w:rStyle w:val="Hyperlink"/>
            <w:rFonts w:cstheme="minorHAnsi"/>
            <w:b/>
            <w:bCs/>
          </w:rPr>
          <w:t>SB 1665</w:t>
        </w:r>
      </w:hyperlink>
      <w:r>
        <w:rPr>
          <w:rFonts w:cstheme="minorHAnsi"/>
          <w:color w:val="000000"/>
        </w:rPr>
        <w:t xml:space="preserve"> (Pacione-Zayas/Moeller) is a b</w:t>
      </w:r>
      <w:r w:rsidRPr="00AE0C35">
        <w:rPr>
          <w:rFonts w:cstheme="minorHAnsi"/>
          <w:color w:val="000000"/>
        </w:rPr>
        <w:t>ill that passed both chambers. amends the Hospital Uninsured Patient Discount Act. Provides that in determining eligibility under this Act, a hospital subject to the Act shall exclude from consideration any unconditional cash transfers, payments, or gifts received under a guaranteed income program if: (A) such cash transfers, payments, or gifts are excluded from consideration for determining eligibility under public health insurance programs administered by the State in which the State has the authority to waive guaranteed income; and (B) the guaranteed income program is a program for a defined number of months or years designed to reduce poverty, promote social mobility, or increase financial stability for program participants and if there is an explicit plan to collect data. Provides that the preceding provision is inoperative on and after July 1, 2026. Adds the Health Benefits for Immigrants program to the list of public health insurance programs that an uninsured patient must first apply to before seeking any available hospital discounts under the Act. Removes language providing that household income received through participation in a guaranteed income program shall not be considered income for the purposes of reviewing eligibility for financial assistance under the Act. Effective January 1, 2024.</w:t>
      </w:r>
    </w:p>
    <w:p w14:paraId="135ECC06" w14:textId="1573FCEC" w:rsidR="00AE0C35" w:rsidRDefault="00AE0C35" w:rsidP="00C52150">
      <w:pPr>
        <w:rPr>
          <w:rFonts w:cstheme="minorHAnsi"/>
          <w:color w:val="000000"/>
        </w:rPr>
      </w:pPr>
      <w:r w:rsidRPr="00AE0C35">
        <w:rPr>
          <w:rFonts w:cstheme="minorHAnsi"/>
          <w:b/>
          <w:bCs/>
        </w:rPr>
        <w:t xml:space="preserve">Telehealth: </w:t>
      </w:r>
      <w:hyperlink r:id="rId41" w:history="1">
        <w:r w:rsidRPr="00AE0C35">
          <w:rPr>
            <w:rStyle w:val="Hyperlink"/>
            <w:rFonts w:cstheme="minorHAnsi"/>
            <w:b/>
            <w:bCs/>
          </w:rPr>
          <w:t>SB 1913</w:t>
        </w:r>
      </w:hyperlink>
      <w:r>
        <w:rPr>
          <w:rFonts w:cstheme="minorHAnsi"/>
        </w:rPr>
        <w:t xml:space="preserve"> (Fine/Ladisch Douglass) is a bill that passed both </w:t>
      </w:r>
      <w:r w:rsidRPr="00AE0C35">
        <w:rPr>
          <w:rFonts w:cstheme="minorHAnsi"/>
        </w:rPr>
        <w:t xml:space="preserve">chambers. </w:t>
      </w:r>
      <w:r w:rsidRPr="00AE0C35">
        <w:rPr>
          <w:rFonts w:cstheme="minorHAnsi"/>
          <w:color w:val="000000"/>
        </w:rPr>
        <w:t>Amends the Medical Assistance Article of the Illinois Public Aid Code. Provides that the Department of Healthcare and Family Services and any managed care plans under contract with the Department for the medical assistance program shall provide for coverage of mental health and substance use disorder treatment or services delivered as behavioral telehealth services; and that the Department and any managed care plans under contract with the Department for the medical assistance program may also provide reimbursement to a behavioral health facility that serves as the originating site at the time a behavioral telehealth service is rendered. Sets forth provisions concerning coverage of mental health and substance use disorder telehealth services. Provides that the Department may adopt rules to implement the provisions.</w:t>
      </w:r>
    </w:p>
    <w:p w14:paraId="23D93079" w14:textId="118E511A" w:rsidR="00AE0C35" w:rsidRDefault="00AE0C35" w:rsidP="00C52150">
      <w:pPr>
        <w:rPr>
          <w:rFonts w:ascii="Arial" w:hAnsi="Arial" w:cs="Arial"/>
          <w:color w:val="000000"/>
          <w:sz w:val="20"/>
          <w:szCs w:val="20"/>
        </w:rPr>
      </w:pPr>
      <w:r w:rsidRPr="00AE0C35">
        <w:rPr>
          <w:rFonts w:cstheme="minorHAnsi"/>
          <w:b/>
          <w:bCs/>
          <w:color w:val="000000"/>
        </w:rPr>
        <w:t xml:space="preserve">Prosthetic Device Coverage: </w:t>
      </w:r>
      <w:hyperlink r:id="rId42" w:history="1">
        <w:r w:rsidRPr="00AE0C35">
          <w:rPr>
            <w:rStyle w:val="Hyperlink"/>
            <w:rFonts w:cstheme="minorHAnsi"/>
            <w:b/>
            <w:bCs/>
          </w:rPr>
          <w:t>SB 2195</w:t>
        </w:r>
      </w:hyperlink>
      <w:r>
        <w:rPr>
          <w:rFonts w:cstheme="minorHAnsi"/>
          <w:color w:val="000000"/>
        </w:rPr>
        <w:t xml:space="preserve"> (Gillespie/Guzzardi) is a </w:t>
      </w:r>
      <w:r w:rsidRPr="00AE0C35">
        <w:rPr>
          <w:rFonts w:cstheme="minorHAnsi"/>
          <w:color w:val="000000"/>
        </w:rPr>
        <w:t>bill that passed both chambers. Amends the Accident and Health Article of the Illinois Insurance Code. Provides that with respect to an enrollee at any age, in addition to coverage of a prosthetic or custom orthotic device, benefits shall be provided for a prosthetic or custom orthotic device determined by the enrollee's provider to be the most appropriate model that is medically necessary for the enrollee to perform physical activities, as applicable, such as running, biking, swimming, and lifting weights, and to maximize the enrollee's whole body health and strengthen the lower and upper limb function. Provides that the requirements of the provisions do not constitute an addition to the State's essential health benefits that requires defrayal of costs by the State pursuant to specified federal law. Effective January 1, 2025.</w:t>
      </w:r>
      <w:r>
        <w:rPr>
          <w:rFonts w:ascii="Arial" w:hAnsi="Arial" w:cs="Arial"/>
          <w:color w:val="000000"/>
          <w:sz w:val="20"/>
          <w:szCs w:val="20"/>
        </w:rPr>
        <w:t xml:space="preserve"> </w:t>
      </w:r>
    </w:p>
    <w:bookmarkEnd w:id="0"/>
    <w:p w14:paraId="4072E012" w14:textId="58417762" w:rsidR="00AE0C35" w:rsidRPr="00776254" w:rsidRDefault="00776254" w:rsidP="00C52150">
      <w:pPr>
        <w:rPr>
          <w:rFonts w:cstheme="minorHAnsi"/>
          <w:b/>
          <w:bCs/>
          <w:sz w:val="28"/>
          <w:szCs w:val="28"/>
        </w:rPr>
      </w:pPr>
      <w:r w:rsidRPr="00776254">
        <w:rPr>
          <w:rFonts w:cstheme="minorHAnsi"/>
          <w:b/>
          <w:bCs/>
          <w:sz w:val="28"/>
          <w:szCs w:val="28"/>
        </w:rPr>
        <w:t>Life Insurance Bills:</w:t>
      </w:r>
    </w:p>
    <w:p w14:paraId="76597654" w14:textId="24FD2C99" w:rsidR="00776254" w:rsidRDefault="002F05D7" w:rsidP="00C52150">
      <w:pPr>
        <w:rPr>
          <w:rFonts w:cstheme="minorHAnsi"/>
          <w:color w:val="000000"/>
        </w:rPr>
      </w:pPr>
      <w:r w:rsidRPr="002F05D7">
        <w:rPr>
          <w:rFonts w:cstheme="minorHAnsi"/>
          <w:b/>
          <w:bCs/>
        </w:rPr>
        <w:t xml:space="preserve">Sustainability Disclosures: </w:t>
      </w:r>
      <w:hyperlink r:id="rId43" w:history="1">
        <w:r w:rsidRPr="002F05D7">
          <w:rPr>
            <w:rStyle w:val="Hyperlink"/>
            <w:rFonts w:cstheme="minorHAnsi"/>
            <w:b/>
            <w:bCs/>
          </w:rPr>
          <w:t>HB 2782</w:t>
        </w:r>
      </w:hyperlink>
      <w:r>
        <w:rPr>
          <w:rFonts w:cstheme="minorHAnsi"/>
        </w:rPr>
        <w:t xml:space="preserve"> (Williams/Villivalam) is a bill that passed </w:t>
      </w:r>
      <w:r w:rsidRPr="002F05D7">
        <w:rPr>
          <w:rFonts w:cstheme="minorHAnsi"/>
        </w:rPr>
        <w:t xml:space="preserve">both chambers. </w:t>
      </w:r>
      <w:r w:rsidRPr="002F05D7">
        <w:rPr>
          <w:rFonts w:cstheme="minorHAnsi"/>
          <w:color w:val="000000"/>
        </w:rPr>
        <w:t> Amends the Illinois Sustainable Investing Act. Provides that, effective January 1, 2024, every investment manager shall comply with annual disclosure requirements that will require the investment manager to provide a description of the process through which the manager prudently integrates sustainability factors into its investment decision-making, investment analysis, portfolio construction, due diligence, and investment ownership in order to maximize anticipated financial returns, identify and minimize projected risk, and execute its fiduciary duties more effectively. Provides that the investment manager shall provide the annual disclosure to each public agency, pension fund, retirement system, or governmental unit for whom the investment manager is acting as a fiduciary or seeking selection as a fiduciary prior to acting in this capacity and at least annually thereafter. Defines "investment manager".</w:t>
      </w:r>
    </w:p>
    <w:p w14:paraId="0CCD7039" w14:textId="04DA0C0C" w:rsidR="002F05D7" w:rsidRPr="00AE0C35" w:rsidRDefault="002F05D7" w:rsidP="00C52150">
      <w:pPr>
        <w:rPr>
          <w:rFonts w:cstheme="minorHAnsi"/>
        </w:rPr>
      </w:pPr>
      <w:r w:rsidRPr="002F05D7">
        <w:rPr>
          <w:rFonts w:cstheme="minorHAnsi"/>
          <w:b/>
          <w:bCs/>
          <w:color w:val="000000"/>
        </w:rPr>
        <w:t xml:space="preserve">Secure Choice Administration: </w:t>
      </w:r>
      <w:hyperlink r:id="rId44" w:history="1">
        <w:r w:rsidRPr="002F05D7">
          <w:rPr>
            <w:rStyle w:val="Hyperlink"/>
            <w:rFonts w:cstheme="minorHAnsi"/>
            <w:b/>
            <w:bCs/>
          </w:rPr>
          <w:t>HB 3155 (P.A. 103-0043)</w:t>
        </w:r>
      </w:hyperlink>
      <w:r w:rsidRPr="002F05D7">
        <w:rPr>
          <w:rFonts w:cstheme="minorHAnsi"/>
          <w:b/>
          <w:bCs/>
          <w:color w:val="000000"/>
        </w:rPr>
        <w:t xml:space="preserve"> </w:t>
      </w:r>
      <w:r>
        <w:rPr>
          <w:rFonts w:cstheme="minorHAnsi"/>
          <w:color w:val="000000"/>
        </w:rPr>
        <w:t xml:space="preserve">(Morgan/Koehler) is </w:t>
      </w:r>
      <w:r w:rsidRPr="002F05D7">
        <w:rPr>
          <w:rFonts w:cstheme="minorHAnsi"/>
          <w:color w:val="000000"/>
        </w:rPr>
        <w:t>a bill that passed both chambers.  Amends the Illinois Secure Choice Savings Program Act. Provides that the Illinois Secure Choice Savings Board shall determine the number and duties of staff members needed to administer the Illinois Secure Choice Savings Program and assemble such a staff in collaboration with the State Treasurer. Provides that the Board shall keep investment fees (rather than total annual expenses) as low as possible, but in no event shall they exceed 0.25% (rather than 0.75%). Provides that the Board may charge administrative fees, established by rule, that shall be consistent with industry standards. Provides that the definition of "employer" does not include the federal government, the State, any county, any municipal corporation, or any of the State's units or instrumentalities. Effective immediately.</w:t>
      </w:r>
    </w:p>
    <w:p w14:paraId="6F28E04F" w14:textId="4E1DCFF1" w:rsidR="00E85426" w:rsidRDefault="00E85426" w:rsidP="00454791">
      <w:pPr>
        <w:rPr>
          <w:b/>
          <w:bCs/>
          <w:sz w:val="28"/>
          <w:szCs w:val="28"/>
        </w:rPr>
      </w:pPr>
      <w:bookmarkStart w:id="1" w:name="_Hlk138772622"/>
      <w:r>
        <w:rPr>
          <w:b/>
          <w:bCs/>
          <w:sz w:val="28"/>
          <w:szCs w:val="28"/>
        </w:rPr>
        <w:t>Employer Bills:</w:t>
      </w:r>
    </w:p>
    <w:p w14:paraId="3637BBD6" w14:textId="2C7B278D" w:rsidR="00E85426" w:rsidRDefault="00E85426" w:rsidP="00454791">
      <w:r w:rsidRPr="005D3C37">
        <w:rPr>
          <w:b/>
          <w:bCs/>
        </w:rPr>
        <w:t>Punitive Damages</w:t>
      </w:r>
      <w:r>
        <w:t xml:space="preserve">: </w:t>
      </w:r>
      <w:hyperlink r:id="rId45" w:history="1">
        <w:r w:rsidRPr="00785195">
          <w:rPr>
            <w:rStyle w:val="Hyperlink"/>
            <w:b/>
            <w:bCs/>
          </w:rPr>
          <w:t>HB 219</w:t>
        </w:r>
      </w:hyperlink>
      <w:r>
        <w:t xml:space="preserve"> (Hoffman/Harmon) in the final days of session HB 219 was introduced and hastily pushed through both chambers of the General Assembly. the bill, an initiative of the Illinois Trial Lawyers Association, adds punitive damages to wrongful death cases which will add significant costs – potentially millions or even tens of millions of dollars – to these lawsuit</w:t>
      </w:r>
      <w:r w:rsidR="00C52150">
        <w:t>s</w:t>
      </w:r>
      <w:r>
        <w:t>. For years, Illinois courts have consistently held, that “absent specific statutory authority or very strong equitable reasons, punitive damages are not permitted in an action under the Survival Act or as part of a common law action for wrongful death.” Changing this law will end decades of precedence in court cases and make Illinois less attractive for job creators. This action also comes on the heels of the Illinois General Assembly and Governor Pritzker approving pre-judgement interest to court cases which also was hastily passed through the General Assembly.</w:t>
      </w:r>
    </w:p>
    <w:p w14:paraId="454976D0" w14:textId="3A7D536B" w:rsidR="00E85426" w:rsidRDefault="00E85426" w:rsidP="00454791">
      <w:r w:rsidRPr="005D3C37">
        <w:rPr>
          <w:b/>
          <w:bCs/>
        </w:rPr>
        <w:t>Pay Scale Postings</w:t>
      </w:r>
      <w:r>
        <w:t xml:space="preserve">: </w:t>
      </w:r>
      <w:hyperlink r:id="rId46" w:history="1">
        <w:r w:rsidRPr="00785195">
          <w:rPr>
            <w:rStyle w:val="Hyperlink"/>
            <w:b/>
            <w:bCs/>
          </w:rPr>
          <w:t>HB 3129</w:t>
        </w:r>
      </w:hyperlink>
      <w:r>
        <w:t xml:space="preserve"> (Canty/Pacione-Zayas) requires any employer with 15 or more employees to provide the pay scale and benefits for a position in any job posting. As introduced, the bill was overly broad and did not properly define what a job posting was, essentially forcing any business posting a help wanted sign to have to comply with strict regulations. The bill also did not account for often wide-scaled salaried positions that depend heavily on </w:t>
      </w:r>
      <w:r w:rsidR="003D052F">
        <w:t>applicants,</w:t>
      </w:r>
      <w:r>
        <w:t xml:space="preserve"> history or experience. </w:t>
      </w:r>
    </w:p>
    <w:p w14:paraId="6228D46A" w14:textId="6D506D9D" w:rsidR="00E85426" w:rsidRDefault="00E85426" w:rsidP="00454791">
      <w:r>
        <w:t>After much negotiation, the final bill continues to require any employer with 15 or more employees to provide pay scale and benefits for a position in any job posting; however, the following are important changes that were made to the introduced bill:</w:t>
      </w:r>
    </w:p>
    <w:p w14:paraId="67EA3999" w14:textId="4BAC0668" w:rsidR="00E85426" w:rsidRDefault="00E85426" w:rsidP="00E85426">
      <w:pPr>
        <w:pStyle w:val="ListParagraph"/>
        <w:numPr>
          <w:ilvl w:val="0"/>
          <w:numId w:val="3"/>
        </w:numPr>
      </w:pPr>
      <w:r>
        <w:t>Allowing pay scale and benefit information for a job posting to be provided to potential applicants simply through a hyperlink. Originally, every detail of salary range and benefit had to have been explicitly laid out in the job posting.</w:t>
      </w:r>
    </w:p>
    <w:p w14:paraId="127D0269" w14:textId="54224C4C" w:rsidR="00E85426" w:rsidRDefault="00E85426" w:rsidP="00E85426">
      <w:pPr>
        <w:pStyle w:val="ListParagraph"/>
        <w:numPr>
          <w:ilvl w:val="0"/>
          <w:numId w:val="3"/>
        </w:numPr>
      </w:pPr>
      <w:r>
        <w:t>Allowing for a job posting that may be in violation of this new law to have a cure period so that the employer can fix the mistake before any action is taken.</w:t>
      </w:r>
    </w:p>
    <w:p w14:paraId="210C8210" w14:textId="239AEF4C" w:rsidR="00E85426" w:rsidRDefault="00E85426" w:rsidP="00E85426">
      <w:pPr>
        <w:pStyle w:val="ListParagraph"/>
        <w:numPr>
          <w:ilvl w:val="0"/>
          <w:numId w:val="3"/>
        </w:numPr>
      </w:pPr>
      <w:r>
        <w:t>Requiring liability for third parties posting positions. The original bill made the employer liable for a third party’s failure to include the pay scale and benefits on a job posting, but in the final version it was negotiated that the third party would be liable as long as the employer had provided the information to the third party</w:t>
      </w:r>
      <w:r w:rsidR="009438AA">
        <w:t>.</w:t>
      </w:r>
    </w:p>
    <w:p w14:paraId="634E48C3" w14:textId="7A0BE09D" w:rsidR="003D052F" w:rsidRDefault="003D052F" w:rsidP="003D052F">
      <w:r w:rsidRPr="003D052F">
        <w:rPr>
          <w:b/>
          <w:bCs/>
        </w:rPr>
        <w:t>Freelance Worker Protection</w:t>
      </w:r>
      <w:r>
        <w:t xml:space="preserve">: </w:t>
      </w:r>
      <w:hyperlink r:id="rId47" w:history="1">
        <w:r w:rsidRPr="003D052F">
          <w:rPr>
            <w:rStyle w:val="Hyperlink"/>
            <w:b/>
            <w:bCs/>
          </w:rPr>
          <w:t>HB 1122</w:t>
        </w:r>
      </w:hyperlink>
      <w:r>
        <w:t xml:space="preserve"> (Guzzardi/Harmon) is a bill that passed both chambers and creates the Freelance Worker Protection Act. The bill provides that except as otherwise provided by law, a freelance worker shall be paid the contractual compensation amount on or below the date the compensation is due under the terms of the contract. Provides that if the contract does not specify when the hiring party must pay the contractual compensation or the mechanism by which the date will be determined, compensation will be due no later than 30 days after the completion of the freelance worker’s services under the contract.</w:t>
      </w:r>
    </w:p>
    <w:p w14:paraId="1CB2EE7E" w14:textId="1B27BC17" w:rsidR="003D052F" w:rsidRDefault="003D052F" w:rsidP="003D052F">
      <w:r w:rsidRPr="003D052F">
        <w:rPr>
          <w:b/>
          <w:bCs/>
        </w:rPr>
        <w:t>Equitable Restrooms All Gender</w:t>
      </w:r>
      <w:r>
        <w:t xml:space="preserve">: </w:t>
      </w:r>
      <w:hyperlink r:id="rId48" w:history="1">
        <w:r w:rsidRPr="003D052F">
          <w:rPr>
            <w:rStyle w:val="Hyperlink"/>
            <w:b/>
            <w:bCs/>
          </w:rPr>
          <w:t>HB 1286</w:t>
        </w:r>
      </w:hyperlink>
      <w:r>
        <w:t xml:space="preserve"> (Stuart/Villanueva) is a bill that passed both chambers that provides that any multiple-occupancy restroom may be identified as an all-gender multiple occupancy restroom and designated for use by any person of any gender. An all-gender multiple occupancy restroom must include the following:</w:t>
      </w:r>
    </w:p>
    <w:p w14:paraId="6381D569" w14:textId="7431E6D3" w:rsidR="003D052F" w:rsidRDefault="003D052F" w:rsidP="003D052F">
      <w:pPr>
        <w:pStyle w:val="ListParagraph"/>
        <w:numPr>
          <w:ilvl w:val="0"/>
          <w:numId w:val="4"/>
        </w:numPr>
      </w:pPr>
      <w:r>
        <w:t>Inclusive signage that is prominently displayed at the exterior of the restroom for all who are entering the restroom, that does not indicate any specific gender, and that indicates any component that is present in the restroom.</w:t>
      </w:r>
    </w:p>
    <w:p w14:paraId="46459A22" w14:textId="33C09A9D" w:rsidR="003D052F" w:rsidRDefault="003D052F" w:rsidP="003D052F">
      <w:pPr>
        <w:pStyle w:val="ListParagraph"/>
        <w:numPr>
          <w:ilvl w:val="0"/>
          <w:numId w:val="4"/>
        </w:numPr>
      </w:pPr>
      <w:r>
        <w:t>Floor to ceiling stall dividers equipped with a sturdy and functioning locking mechanism controlled by the user and a partition privacy cover or strip that ensures that no one is able to see through the space between the stall divider and door.</w:t>
      </w:r>
    </w:p>
    <w:p w14:paraId="1390DB17" w14:textId="78CEDEFC" w:rsidR="003D052F" w:rsidRDefault="003D052F" w:rsidP="003D052F">
      <w:pPr>
        <w:pStyle w:val="ListParagraph"/>
        <w:numPr>
          <w:ilvl w:val="0"/>
          <w:numId w:val="4"/>
        </w:numPr>
      </w:pPr>
      <w:r>
        <w:t>An all-gender multiple occupancy restroom shall not contain urinals.</w:t>
      </w:r>
    </w:p>
    <w:p w14:paraId="521B3D0D" w14:textId="13455EEF" w:rsidR="002262C6" w:rsidRDefault="002262C6" w:rsidP="002262C6">
      <w:r w:rsidRPr="002262C6">
        <w:rPr>
          <w:b/>
          <w:bCs/>
        </w:rPr>
        <w:t>Gender Violence Employer Duty</w:t>
      </w:r>
      <w:r>
        <w:t xml:space="preserve">: </w:t>
      </w:r>
      <w:hyperlink r:id="rId49" w:history="1">
        <w:r w:rsidRPr="002262C6">
          <w:rPr>
            <w:rStyle w:val="Hyperlink"/>
            <w:b/>
            <w:bCs/>
          </w:rPr>
          <w:t>HB 1363</w:t>
        </w:r>
      </w:hyperlink>
      <w:r>
        <w:t xml:space="preserve"> (Guzzardi/Villa) is a bill that passed both chambers. The bill provides that an employer is only liable for gender-related violence committed in the workplace by an employee or agent of the employer when the interaction giving the rise to the gender-related violence arises out of and in the course of employment with the employer. Liability only extends to gender-related violence that occurs: while the employee was directly performing the employee’s job duties and the gender-related violence was the proximate cause of the injury; or while the agent of the employer was directly involved in the gender-related violence and the performance of the contracted work was the proximate cause of the injury. An employer is liable if the employer has acted in a manner inconsistent with how a reasonable person would act under similar circumstances. Additionally, an employer is liable if the employer: failed to supervise, train, or monitor the employee who engaged in the gender-related violence; failed to investigate complaints or reports directly provided to a supervisor, manager, owner, or another person designated by the employer of similar conduct by an employee or agent of the employer and the employer failed to take remedial measures in response to the complaints or reports.</w:t>
      </w:r>
    </w:p>
    <w:p w14:paraId="2BCDBF62" w14:textId="7FCB1977" w:rsidR="002262C6" w:rsidRDefault="002262C6" w:rsidP="002262C6">
      <w:r w:rsidRPr="00DA54C4">
        <w:rPr>
          <w:b/>
          <w:bCs/>
        </w:rPr>
        <w:t>Transportation Benefit Program</w:t>
      </w:r>
      <w:r>
        <w:t xml:space="preserve">: </w:t>
      </w:r>
      <w:hyperlink r:id="rId50" w:history="1">
        <w:r w:rsidRPr="002262C6">
          <w:rPr>
            <w:rStyle w:val="Hyperlink"/>
            <w:b/>
            <w:bCs/>
          </w:rPr>
          <w:t>HB 2068</w:t>
        </w:r>
      </w:hyperlink>
      <w:r>
        <w:t xml:space="preserve"> (Mah/Villivalam) is a bill that passed both chambers. The bill provides that all covered employers shall provide a pre-tax commuter benefit to covered employees. The pre-tax commuter benefit shall allow employees to use pre-tax dollars for purchase of a transit pass, via a payroll deduction, such that the costs for such purchases may be excluded from the employee’s taxable wages and compensation up to the maximum amount permitted by </w:t>
      </w:r>
      <w:r w:rsidR="00DA54C4">
        <w:t xml:space="preserve">federal tax law and rules and regulations promulgated thereunder. A covered employer is defined by any individual, partnership, association, corporation, limited liability company, government, non-profit organization, or business trust that directly or indirectly, or through an agent or any other person, employs or exercises control over wages, hours, or working conditions of an employee. A covered employee is defined by any person who performs an average of at least 35 hours of work per week for compensation on a full-time basis. This benefit must be offered to all employees starting on the employees’ first full pay period after 120 days of employment. </w:t>
      </w:r>
    </w:p>
    <w:p w14:paraId="76A6E3D5" w14:textId="3400CADE" w:rsidR="00DA54C4" w:rsidRDefault="00DA54C4" w:rsidP="002262C6">
      <w:r w:rsidRPr="00DA54C4">
        <w:rPr>
          <w:b/>
          <w:bCs/>
        </w:rPr>
        <w:t>Employee Organ Donation</w:t>
      </w:r>
      <w:r>
        <w:t xml:space="preserve">: </w:t>
      </w:r>
      <w:hyperlink r:id="rId51" w:history="1">
        <w:r w:rsidRPr="00DA54C4">
          <w:rPr>
            <w:rStyle w:val="Hyperlink"/>
            <w:b/>
            <w:bCs/>
          </w:rPr>
          <w:t>HB 3516</w:t>
        </w:r>
      </w:hyperlink>
      <w:r>
        <w:t xml:space="preserve"> (Syed/Villivalam) is a bill that passed both chambers. </w:t>
      </w:r>
      <w:r w:rsidR="00CA4CD8">
        <w:t xml:space="preserve">The bill allows for an employee to use up to 10 days of leave in any 12-month period to serve as an organ donor. </w:t>
      </w:r>
    </w:p>
    <w:p w14:paraId="16B4337A" w14:textId="7C39AF9A" w:rsidR="00D014C4" w:rsidRDefault="00D014C4" w:rsidP="002262C6">
      <w:r w:rsidRPr="00D014C4">
        <w:rPr>
          <w:b/>
          <w:bCs/>
        </w:rPr>
        <w:t>Workplace Privacy Verification</w:t>
      </w:r>
      <w:r>
        <w:t xml:space="preserve">: </w:t>
      </w:r>
      <w:hyperlink r:id="rId52" w:history="1">
        <w:r w:rsidRPr="00D014C4">
          <w:rPr>
            <w:rStyle w:val="Hyperlink"/>
            <w:b/>
            <w:bCs/>
          </w:rPr>
          <w:t>SB 1515</w:t>
        </w:r>
      </w:hyperlink>
      <w:r>
        <w:t xml:space="preserve"> (Cervantes/Dina Delgado) passed both chambers. The bill provides that when an employer receives notification from any federal or State agency, including but not limited to, the Social Security Administration or Internal Revenue Service, of a discrepancy, the following rights and protections are granted to the employee: to choose which work authorization documents to present to the employer during the verification or re-verification process; and to choose to be represented by counsel or represent his or herself in any meetings, discussions, or proceedings with the employer. If an employer receives notication that the discrepancy has been remedied the employer must: return the employee to his or her former position without loss of seniority, compensation rate or salary, or benefits; and not consider the discrepancy in future promotion decisions or continued employment considerations.</w:t>
      </w:r>
    </w:p>
    <w:p w14:paraId="01F0F693" w14:textId="43D58F87" w:rsidR="00D014C4" w:rsidRDefault="00D014C4" w:rsidP="002262C6">
      <w:r w:rsidRPr="00C52150">
        <w:rPr>
          <w:b/>
          <w:bCs/>
        </w:rPr>
        <w:t>Child Extended Bereavement</w:t>
      </w:r>
      <w:r>
        <w:t xml:space="preserve">: </w:t>
      </w:r>
      <w:hyperlink r:id="rId53" w:history="1">
        <w:r w:rsidRPr="00D014C4">
          <w:rPr>
            <w:rStyle w:val="Hyperlink"/>
            <w:b/>
            <w:bCs/>
          </w:rPr>
          <w:t>SB 2034</w:t>
        </w:r>
      </w:hyperlink>
      <w:r>
        <w:t xml:space="preserve"> (Villa/West) is a bill that passed both chambers. </w:t>
      </w:r>
      <w:r>
        <w:rPr>
          <w:rFonts w:ascii="Arial" w:hAnsi="Arial" w:cs="Arial"/>
          <w:color w:val="000000"/>
          <w:sz w:val="20"/>
          <w:szCs w:val="20"/>
          <w:shd w:val="clear" w:color="auto" w:fill="FFFFFF"/>
        </w:rPr>
        <w:t xml:space="preserve">Creates the Child Extended </w:t>
      </w:r>
      <w:r w:rsidRPr="00D014C4">
        <w:rPr>
          <w:rFonts w:cstheme="minorHAnsi"/>
          <w:color w:val="000000"/>
          <w:shd w:val="clear" w:color="auto" w:fill="FFFFFF"/>
        </w:rPr>
        <w:t xml:space="preserve">Bereavement Leave Act. Provides that the Act may be referred to as Zachary's Parent Protection Act. Provides that an employee of a large employer that employs 250 or more full-time employees is entitled to use a maximum of 12 weeks of unpaid leave if the employee experiences the loss of a child by suicide or homicide. Provides that an employee of a small employer that employs at least 50 but fewer than 250 full-time employees is entitled to use a maximum of 6 weeks of unpaid leave if the employee experiences the loss of a child by suicide or homicide. Provides that leave may be taken in a single continuous period or intermittently in increments of no less than 4 hours, but leave must be completed within one year after the employee notifies the employer of the loss. Permits an employer to require reasonable advance notice of the employee's intention to leave and reasonable documentation. Provides that an employee who takes leave under the Act is entitled to be restored to the position of employment held by the employee when the leave commenced or to be restored to an equivalent position. Provides that nothing in the Act shall be construed to entitle any restored employee the accrual of any seniority or employment benefits during any period of leave. Provides that the Act does not extend the maximum period of leave to which an employee is entitled under the federal Family and Medical Leave Act of 1993 or under any other paid or unpaid leave provided under federal, State or local law, a collective bargaining agreement, or an employment benefits program or plan. Prohibits an employer from taking any adverse action against an </w:t>
      </w:r>
      <w:r w:rsidRPr="00C52150">
        <w:rPr>
          <w:rFonts w:cstheme="minorHAnsi"/>
          <w:color w:val="000000"/>
          <w:shd w:val="clear" w:color="auto" w:fill="FFFFFF"/>
        </w:rPr>
        <w:t xml:space="preserve">employee who exercises his or her rights under the Act. Requires the Department of Labor to enforce the Act. Provides that a person who uses leave under either the Child Bereavement Leave Act or the Child Extended Bereavement Leave Act may not take leave under the other </w:t>
      </w:r>
      <w:r w:rsidR="00C52150" w:rsidRPr="00C52150">
        <w:rPr>
          <w:rFonts w:cstheme="minorHAnsi"/>
          <w:color w:val="000000"/>
          <w:shd w:val="clear" w:color="auto" w:fill="FFFFFF"/>
        </w:rPr>
        <w:t>Act and</w:t>
      </w:r>
      <w:r w:rsidRPr="00C52150">
        <w:rPr>
          <w:rFonts w:cstheme="minorHAnsi"/>
          <w:color w:val="000000"/>
          <w:shd w:val="clear" w:color="auto" w:fill="FFFFFF"/>
        </w:rPr>
        <w:t xml:space="preserve"> amends the Child Bereavement Leave Act accordingly.</w:t>
      </w:r>
      <w:r w:rsidR="00C52150" w:rsidRPr="00C52150">
        <w:rPr>
          <w:rFonts w:cstheme="minorHAnsi"/>
          <w:color w:val="000000"/>
          <w:shd w:val="clear" w:color="auto" w:fill="FFFFFF"/>
        </w:rPr>
        <w:t xml:space="preserve"> Provides that after concluding its investigation concerning the administration and enforcement of the Act, the Director of Labor shall notify all parties of the determination. Provides that the Director shall issue a notice of violation when the investigation has established that a violation of any part of the Act occurred or is occurring. Provides that the Department of Labor shall serve notice on the parties by certified U.S. mail, postage prepaid, return receipt requested, addressed to the last known address of the parties. </w:t>
      </w:r>
      <w:r w:rsidR="00C52150">
        <w:rPr>
          <w:rFonts w:cstheme="minorHAnsi"/>
          <w:color w:val="000000"/>
          <w:shd w:val="clear" w:color="auto" w:fill="FFFFFF"/>
        </w:rPr>
        <w:t>The bill provides</w:t>
      </w:r>
      <w:r w:rsidR="00C52150" w:rsidRPr="00C52150">
        <w:rPr>
          <w:rFonts w:cstheme="minorHAnsi"/>
          <w:color w:val="000000"/>
          <w:shd w:val="clear" w:color="auto" w:fill="FFFFFF"/>
        </w:rPr>
        <w:t xml:space="preserve"> that within 20 days after the date of service, a party may request a hearing by certified mail or personal delivery to the Department. Provides that an employee who believes his or her rights under the Act have been violated may, within one year (rather than 60 days) after the date of the last event constituting the alleged violation for which the action is brought, file a complaint with the Department or file a civil action. In the definition of "employee" removes a provision that excludes a salaried employee who is among the highest paid 10% of the employees employed by the employer.</w:t>
      </w:r>
    </w:p>
    <w:bookmarkEnd w:id="1"/>
    <w:p w14:paraId="5D9FD52B" w14:textId="293BC62B" w:rsidR="00454791" w:rsidRPr="00680D4F" w:rsidRDefault="00680D4F" w:rsidP="00454791">
      <w:r w:rsidRPr="00680D4F">
        <w:rPr>
          <w:b/>
          <w:bCs/>
          <w:sz w:val="28"/>
          <w:szCs w:val="28"/>
        </w:rPr>
        <w:t>Closing Message</w:t>
      </w:r>
      <w:r w:rsidRPr="00680D4F">
        <w:t>:</w:t>
      </w:r>
    </w:p>
    <w:p w14:paraId="23B2778F" w14:textId="2506883E" w:rsidR="00680D4F" w:rsidRDefault="00680D4F" w:rsidP="00454791">
      <w:r>
        <w:t xml:space="preserve">While the General Assembly has adjourned until the Fall Veto Session or unless called into special session by the Governor, the </w:t>
      </w:r>
      <w:r w:rsidR="00877AD8">
        <w:t>IAMIC</w:t>
      </w:r>
      <w:r>
        <w:t xml:space="preserve"> staff will continue our advocacy efforts to benefit our members. That important work happens year-round. We are focused on building positive support for </w:t>
      </w:r>
      <w:r w:rsidR="00877AD8">
        <w:t>IAMIC’s</w:t>
      </w:r>
      <w:r>
        <w:t xml:space="preserve"> initiatives and strengthening our opposition to harmful </w:t>
      </w:r>
      <w:r w:rsidR="00221B0F">
        <w:t>legislation</w:t>
      </w:r>
      <w:r>
        <w:t xml:space="preserve"> that could be considered later in the year. I will continue to keep members updated in the Springfield Update, which can be viewed in Connect at iiaofil.org. </w:t>
      </w:r>
      <w:r w:rsidR="00877AD8">
        <w:t>IAMIC</w:t>
      </w:r>
      <w:r>
        <w:t xml:space="preserve"> is proud to have a seat at the table at the State Capitol, to give a voice to the challenges facing </w:t>
      </w:r>
      <w:r w:rsidR="00877AD8">
        <w:t>our members</w:t>
      </w:r>
      <w:r>
        <w:t xml:space="preserve">. </w:t>
      </w:r>
    </w:p>
    <w:p w14:paraId="04600F18" w14:textId="001BBE20" w:rsidR="00680D4F" w:rsidRDefault="00680D4F" w:rsidP="00454791">
      <w:r>
        <w:t>To all of our members, thank you for the opportunity to serve you and your interests at the capitol.</w:t>
      </w:r>
    </w:p>
    <w:p w14:paraId="59268CB7" w14:textId="77777777" w:rsidR="00680D4F" w:rsidRDefault="00680D4F" w:rsidP="00454791"/>
    <w:p w14:paraId="602262E5" w14:textId="0B31A725" w:rsidR="00680D4F" w:rsidRDefault="00680D4F" w:rsidP="00454791">
      <w:r w:rsidRPr="00352F47">
        <w:rPr>
          <w:noProof/>
        </w:rPr>
        <w:drawing>
          <wp:inline distT="0" distB="0" distL="0" distR="0" wp14:anchorId="4E58B359" wp14:editId="3BE53A65">
            <wp:extent cx="1333500" cy="583406"/>
            <wp:effectExtent l="0" t="0" r="0" b="7620"/>
            <wp:docPr id="6" name="Picture 6"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with medium confidenc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86709" cy="606685"/>
                    </a:xfrm>
                    <a:prstGeom prst="rect">
                      <a:avLst/>
                    </a:prstGeom>
                    <a:noFill/>
                    <a:ln>
                      <a:noFill/>
                    </a:ln>
                  </pic:spPr>
                </pic:pic>
              </a:graphicData>
            </a:graphic>
          </wp:inline>
        </w:drawing>
      </w:r>
    </w:p>
    <w:p w14:paraId="76D7767B" w14:textId="52AA79FA" w:rsidR="00680D4F" w:rsidRDefault="00680D4F" w:rsidP="00454791">
      <w:r>
        <w:t>Evan Manning</w:t>
      </w:r>
    </w:p>
    <w:p w14:paraId="045A51A1" w14:textId="604BAD0D" w:rsidR="00007895" w:rsidRDefault="00877AD8" w:rsidP="00454791">
      <w:r>
        <w:t>Lobbyist</w:t>
      </w:r>
    </w:p>
    <w:p w14:paraId="2EB4D992" w14:textId="00433039" w:rsidR="00877AD8" w:rsidRDefault="00877AD8" w:rsidP="00454791">
      <w:r>
        <w:t>IAMIC</w:t>
      </w:r>
    </w:p>
    <w:sectPr w:rsidR="00877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F4"/>
    <w:multiLevelType w:val="hybridMultilevel"/>
    <w:tmpl w:val="34C0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B3C"/>
    <w:multiLevelType w:val="hybridMultilevel"/>
    <w:tmpl w:val="260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A004B"/>
    <w:multiLevelType w:val="hybridMultilevel"/>
    <w:tmpl w:val="C7E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45041"/>
    <w:multiLevelType w:val="hybridMultilevel"/>
    <w:tmpl w:val="361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873963">
    <w:abstractNumId w:val="1"/>
  </w:num>
  <w:num w:numId="2" w16cid:durableId="173502114">
    <w:abstractNumId w:val="2"/>
  </w:num>
  <w:num w:numId="3" w16cid:durableId="1048529347">
    <w:abstractNumId w:val="0"/>
  </w:num>
  <w:num w:numId="4" w16cid:durableId="193509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5"/>
    <w:rsid w:val="00007895"/>
    <w:rsid w:val="001B4C93"/>
    <w:rsid w:val="00221B0F"/>
    <w:rsid w:val="002262C6"/>
    <w:rsid w:val="002C2593"/>
    <w:rsid w:val="002F05D7"/>
    <w:rsid w:val="003458B6"/>
    <w:rsid w:val="003C39E9"/>
    <w:rsid w:val="003D052F"/>
    <w:rsid w:val="00420DBC"/>
    <w:rsid w:val="00454791"/>
    <w:rsid w:val="004A18BE"/>
    <w:rsid w:val="004D3DE2"/>
    <w:rsid w:val="004E505F"/>
    <w:rsid w:val="005907DE"/>
    <w:rsid w:val="005D3C37"/>
    <w:rsid w:val="00680D4F"/>
    <w:rsid w:val="006E6233"/>
    <w:rsid w:val="00740C13"/>
    <w:rsid w:val="00776254"/>
    <w:rsid w:val="007848AF"/>
    <w:rsid w:val="00785195"/>
    <w:rsid w:val="008207F3"/>
    <w:rsid w:val="00877AD8"/>
    <w:rsid w:val="00893301"/>
    <w:rsid w:val="008C640F"/>
    <w:rsid w:val="009438AA"/>
    <w:rsid w:val="00A161BF"/>
    <w:rsid w:val="00AB5B02"/>
    <w:rsid w:val="00AE0C35"/>
    <w:rsid w:val="00B522EE"/>
    <w:rsid w:val="00BD5806"/>
    <w:rsid w:val="00C52150"/>
    <w:rsid w:val="00C577CC"/>
    <w:rsid w:val="00C90D42"/>
    <w:rsid w:val="00CA4CD8"/>
    <w:rsid w:val="00CF7043"/>
    <w:rsid w:val="00D014C4"/>
    <w:rsid w:val="00DA54C4"/>
    <w:rsid w:val="00DF3B62"/>
    <w:rsid w:val="00E85426"/>
    <w:rsid w:val="00EA0A58"/>
    <w:rsid w:val="00F40A58"/>
    <w:rsid w:val="00F7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6E6E"/>
  <w15:chartTrackingRefBased/>
  <w15:docId w15:val="{D833B805-3662-45D3-B81A-23181F2A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791"/>
    <w:rPr>
      <w:color w:val="0000FF"/>
      <w:u w:val="single"/>
    </w:rPr>
  </w:style>
  <w:style w:type="paragraph" w:styleId="ListParagraph">
    <w:name w:val="List Paragraph"/>
    <w:basedOn w:val="Normal"/>
    <w:uiPriority w:val="34"/>
    <w:qFormat/>
    <w:rsid w:val="00454791"/>
    <w:pPr>
      <w:ind w:left="720"/>
      <w:contextualSpacing/>
    </w:pPr>
  </w:style>
  <w:style w:type="character" w:styleId="Strong">
    <w:name w:val="Strong"/>
    <w:basedOn w:val="DefaultParagraphFont"/>
    <w:uiPriority w:val="22"/>
    <w:qFormat/>
    <w:rsid w:val="00CF7043"/>
    <w:rPr>
      <w:b/>
      <w:bCs/>
    </w:rPr>
  </w:style>
  <w:style w:type="character" w:styleId="UnresolvedMention">
    <w:name w:val="Unresolved Mention"/>
    <w:basedOn w:val="DefaultParagraphFont"/>
    <w:uiPriority w:val="99"/>
    <w:semiHidden/>
    <w:unhideWhenUsed/>
    <w:rsid w:val="00785195"/>
    <w:rPr>
      <w:color w:val="605E5C"/>
      <w:shd w:val="clear" w:color="auto" w:fill="E1DFDD"/>
    </w:rPr>
  </w:style>
  <w:style w:type="character" w:styleId="FollowedHyperlink">
    <w:name w:val="FollowedHyperlink"/>
    <w:basedOn w:val="DefaultParagraphFont"/>
    <w:uiPriority w:val="99"/>
    <w:semiHidden/>
    <w:unhideWhenUsed/>
    <w:rsid w:val="00B522EE"/>
    <w:rPr>
      <w:color w:val="954F72" w:themeColor="followedHyperlink"/>
      <w:u w:val="single"/>
    </w:rPr>
  </w:style>
  <w:style w:type="character" w:customStyle="1" w:styleId="content">
    <w:name w:val="content"/>
    <w:basedOn w:val="DefaultParagraphFont"/>
    <w:rsid w:val="00EA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publicacts/103/PDF/103-0011.pdf" TargetMode="External"/><Relationship Id="rId18" Type="http://schemas.openxmlformats.org/officeDocument/2006/relationships/hyperlink" Target="https://ilga.gov/legislation/103/HB/PDF/10300HB2296enr.pdf" TargetMode="External"/><Relationship Id="rId26" Type="http://schemas.openxmlformats.org/officeDocument/2006/relationships/hyperlink" Target="https://ilga.gov/legislation/103/HB/PDF/10300HB2443enr.pdf" TargetMode="External"/><Relationship Id="rId39" Type="http://schemas.openxmlformats.org/officeDocument/2006/relationships/hyperlink" Target="https://www.ilga.gov/legislation/publicacts/103/PDF/103-0094.pdf" TargetMode="External"/><Relationship Id="rId21" Type="http://schemas.openxmlformats.org/officeDocument/2006/relationships/hyperlink" Target="https://ilga.gov/legislation/103/HB/PDF/10300HB1384enr.pdf" TargetMode="External"/><Relationship Id="rId34" Type="http://schemas.openxmlformats.org/officeDocument/2006/relationships/hyperlink" Target="https://www.ilga.gov/legislation/103/HB/PDF/10300HB3809enr.pdf" TargetMode="External"/><Relationship Id="rId42" Type="http://schemas.openxmlformats.org/officeDocument/2006/relationships/hyperlink" Target="https://www.ilga.gov/legislation/103/SB/PDF/10300SB2195enr.pdf" TargetMode="External"/><Relationship Id="rId47" Type="http://schemas.openxmlformats.org/officeDocument/2006/relationships/hyperlink" Target="https://ilga.gov/legislation/103/HB/PDF/10300HB1122enr.pdf" TargetMode="External"/><Relationship Id="rId50" Type="http://schemas.openxmlformats.org/officeDocument/2006/relationships/hyperlink" Target="https://ilga.gov/legislation/103/HB/PDF/10300HB1363enr.pdf" TargetMode="External"/><Relationship Id="rId55" Type="http://schemas.openxmlformats.org/officeDocument/2006/relationships/fontTable" Target="fontTable.xml"/><Relationship Id="rId7" Type="http://schemas.openxmlformats.org/officeDocument/2006/relationships/hyperlink" Target="https://ilga.gov/legislation/BillStatus.asp?DocNum=1963&amp;GAID=17&amp;DocTypeID=SB&amp;LegId=146825&amp;SessionID=112" TargetMode="External"/><Relationship Id="rId12" Type="http://schemas.openxmlformats.org/officeDocument/2006/relationships/hyperlink" Target="https://ilga.gov/legislation/103/SB/PDF/10300SB1495enr.pdf" TargetMode="External"/><Relationship Id="rId17" Type="http://schemas.openxmlformats.org/officeDocument/2006/relationships/hyperlink" Target="https://ilga.gov/legislation/billstatus.asp?DocNum=579&amp;GAID=17&amp;GA=103&amp;DocTypeID=HB&amp;LegID=142412&amp;SessionID=112" TargetMode="External"/><Relationship Id="rId25" Type="http://schemas.openxmlformats.org/officeDocument/2006/relationships/hyperlink" Target="https://ilga.gov/legislation/103/HB/PDF/10300HB2189enr.pdf" TargetMode="External"/><Relationship Id="rId33" Type="http://schemas.openxmlformats.org/officeDocument/2006/relationships/hyperlink" Target="https://www.ilga.gov/legislation/103/HB/PDF/10300HB3639enr.pdf" TargetMode="External"/><Relationship Id="rId38" Type="http://schemas.openxmlformats.org/officeDocument/2006/relationships/hyperlink" Target="https://www.ilga.gov/legislation/publicacts/103/PDF/103-0091.pdf" TargetMode="External"/><Relationship Id="rId46" Type="http://schemas.openxmlformats.org/officeDocument/2006/relationships/hyperlink" Target="https://ilga.gov/legislation/103/HB/PDF/10300HB3129enr.pdf" TargetMode="External"/><Relationship Id="rId2" Type="http://schemas.openxmlformats.org/officeDocument/2006/relationships/styles" Target="styles.xml"/><Relationship Id="rId16" Type="http://schemas.openxmlformats.org/officeDocument/2006/relationships/hyperlink" Target="https://ilga.gov/legislation/publicacts/103/PDF/103-0020.pdf" TargetMode="External"/><Relationship Id="rId20" Type="http://schemas.openxmlformats.org/officeDocument/2006/relationships/hyperlink" Target="https://ilga.gov/legislation/103/HB/PDF/10300HB1186enr.pdf" TargetMode="External"/><Relationship Id="rId29" Type="http://schemas.openxmlformats.org/officeDocument/2006/relationships/hyperlink" Target="https://www.ilga.gov/legislation/103/HB/PDF/10300HB2847enr.pdf" TargetMode="External"/><Relationship Id="rId41" Type="http://schemas.openxmlformats.org/officeDocument/2006/relationships/hyperlink" Target="https://www.ilga.gov/legislation/103/SB/PDF/10300SB1913enr.pdf" TargetMode="External"/><Relationship Id="rId54"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ilga.gov/legislation/billstatus.asp?DocNum=3817&amp;GAID=17&amp;GA=103&amp;DocTypeID=HB&amp;LegID=149076&amp;SessionID=112" TargetMode="External"/><Relationship Id="rId11" Type="http://schemas.openxmlformats.org/officeDocument/2006/relationships/hyperlink" Target="https://ilga.gov/legislation/103/HB/PDF/10300HB2878enr.pdf" TargetMode="External"/><Relationship Id="rId24" Type="http://schemas.openxmlformats.org/officeDocument/2006/relationships/hyperlink" Target="https://ilga.gov/legislation/publicacts/103/PDF/103-0024.pdf" TargetMode="External"/><Relationship Id="rId32" Type="http://schemas.openxmlformats.org/officeDocument/2006/relationships/hyperlink" Target="https://www.ilga.gov/legislation/103/HB/PDF/10300HB3631enr.pdf" TargetMode="External"/><Relationship Id="rId37" Type="http://schemas.openxmlformats.org/officeDocument/2006/relationships/hyperlink" Target="https://www.ilga.gov/legislation/103/SB/PDF/10300SB1344enr.pdf" TargetMode="External"/><Relationship Id="rId40" Type="http://schemas.openxmlformats.org/officeDocument/2006/relationships/hyperlink" Target="https://www.ilga.gov/legislation/103/SB/PDF/10300SB1665enr.pdf" TargetMode="External"/><Relationship Id="rId45" Type="http://schemas.openxmlformats.org/officeDocument/2006/relationships/hyperlink" Target="https://ilga.gov/legislation/103/HB/PDF/10300HB0219enr.pdf" TargetMode="External"/><Relationship Id="rId53" Type="http://schemas.openxmlformats.org/officeDocument/2006/relationships/hyperlink" Target="https://ilga.gov/legislation/103/SB/PDF/10300SB2034enr.pdf" TargetMode="External"/><Relationship Id="rId5" Type="http://schemas.openxmlformats.org/officeDocument/2006/relationships/hyperlink" Target="https://ilga.gov/legislation/billstatus.asp?DocNum=250&amp;GAID=17&amp;GA=103&amp;DocTypeID=SB&amp;LegID=143919&amp;SessionID=112" TargetMode="External"/><Relationship Id="rId15" Type="http://schemas.openxmlformats.org/officeDocument/2006/relationships/hyperlink" Target="https://ilga.gov/legislation/103/HB/PDF/10300HB1132enr.pdf" TargetMode="External"/><Relationship Id="rId23" Type="http://schemas.openxmlformats.org/officeDocument/2006/relationships/hyperlink" Target="https://ilga.gov/legislation/103/HB/PDF/10300HB2039enr.pdf" TargetMode="External"/><Relationship Id="rId28" Type="http://schemas.openxmlformats.org/officeDocument/2006/relationships/hyperlink" Target="https://ilga.gov/legislation/103/HB/PDF/10300HB2799enr.pdf" TargetMode="External"/><Relationship Id="rId36" Type="http://schemas.openxmlformats.org/officeDocument/2006/relationships/hyperlink" Target="https://www.ilga.gov/legislation/publicacts/103/PDF/103-0059.pdf" TargetMode="External"/><Relationship Id="rId49" Type="http://schemas.openxmlformats.org/officeDocument/2006/relationships/hyperlink" Target="https://ilga.gov/legislation/103/HB/PDF/10300HB1363enr.pdf" TargetMode="External"/><Relationship Id="rId10" Type="http://schemas.openxmlformats.org/officeDocument/2006/relationships/hyperlink" Target="https://ilga.gov/legislation/103/HB/PDF/10300HB2203lv.pdf" TargetMode="External"/><Relationship Id="rId19" Type="http://schemas.openxmlformats.org/officeDocument/2006/relationships/hyperlink" Target="https://ilga.gov/legislation/billstatus.asp?DocNum=1298&amp;GAID=17&amp;GA=103&amp;DocTypeID=SB&amp;LegID=145577&amp;SessionID=112" TargetMode="External"/><Relationship Id="rId31" Type="http://schemas.openxmlformats.org/officeDocument/2006/relationships/hyperlink" Target="https://www.ilga.gov/legislation/103/HB/PDF/10300HB3202enr.pdf" TargetMode="External"/><Relationship Id="rId44" Type="http://schemas.openxmlformats.org/officeDocument/2006/relationships/hyperlink" Target="https://www.ilga.gov/legislation/publicacts/103/PDF/103-0043.pdf" TargetMode="External"/><Relationship Id="rId52" Type="http://schemas.openxmlformats.org/officeDocument/2006/relationships/hyperlink" Target="https://ilga.gov/legislation/103/SB/PDF/10300SB1515enr.pdf" TargetMode="External"/><Relationship Id="rId4" Type="http://schemas.openxmlformats.org/officeDocument/2006/relationships/webSettings" Target="webSettings.xml"/><Relationship Id="rId9" Type="http://schemas.openxmlformats.org/officeDocument/2006/relationships/hyperlink" Target="https://ilga.gov/legislation/billstatus.asp?DocNum=3817&amp;GAID=17&amp;GA=103&amp;DocTypeID=HB&amp;LegID=149076&amp;SessionID=112" TargetMode="External"/><Relationship Id="rId14" Type="http://schemas.openxmlformats.org/officeDocument/2006/relationships/hyperlink" Target="https://ilga.gov/legislation/103/HB/PDF/10300HB2245enr.pdf" TargetMode="External"/><Relationship Id="rId22" Type="http://schemas.openxmlformats.org/officeDocument/2006/relationships/hyperlink" Target="https://ilga.gov/legislation/103/HB/PDF/10300HB1565enr.pdf" TargetMode="External"/><Relationship Id="rId27" Type="http://schemas.openxmlformats.org/officeDocument/2006/relationships/hyperlink" Target="https://www.ilga.gov/legislation/103/HB/PDF/10300HB2719enr.pdf" TargetMode="External"/><Relationship Id="rId30" Type="http://schemas.openxmlformats.org/officeDocument/2006/relationships/hyperlink" Target="https://www.ilga.gov/legislation/103/HB/PDF/10300HB3030enr.pdf" TargetMode="External"/><Relationship Id="rId35" Type="http://schemas.openxmlformats.org/officeDocument/2006/relationships/hyperlink" Target="https://www.ilga.gov/legislation/103/HB/PDF/10300HB3957enr.pdf" TargetMode="External"/><Relationship Id="rId43" Type="http://schemas.openxmlformats.org/officeDocument/2006/relationships/hyperlink" Target="https://www.ilga.gov/legislation/103/HB/PDF/10300HB2782enr.pdf" TargetMode="External"/><Relationship Id="rId48" Type="http://schemas.openxmlformats.org/officeDocument/2006/relationships/hyperlink" Target="https://ilga.gov/legislation/103/HB/PDF/10300HB1286enr.pdf" TargetMode="External"/><Relationship Id="rId56" Type="http://schemas.openxmlformats.org/officeDocument/2006/relationships/theme" Target="theme/theme1.xml"/><Relationship Id="rId8" Type="http://schemas.openxmlformats.org/officeDocument/2006/relationships/hyperlink" Target="https://ilga.gov/legislation/billstatus.asp?DocNum=3551&amp;GAID=17&amp;GA=103&amp;DocTypeID=HB&amp;LegID=148721&amp;SessionID=112" TargetMode="External"/><Relationship Id="rId51" Type="http://schemas.openxmlformats.org/officeDocument/2006/relationships/hyperlink" Target="https://ilga.gov/legislation/103/HB/PDF/10300HB3516enr.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11236</Words>
  <Characters>54612</Characters>
  <Application>Microsoft Office Word</Application>
  <DocSecurity>0</DocSecurity>
  <Lines>1400</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Manning</dc:creator>
  <cp:keywords/>
  <dc:description/>
  <cp:lastModifiedBy>Jackie RAKERS</cp:lastModifiedBy>
  <cp:revision>2</cp:revision>
  <dcterms:created xsi:type="dcterms:W3CDTF">2023-07-25T17:45:00Z</dcterms:created>
  <dcterms:modified xsi:type="dcterms:W3CDTF">2023-07-25T17:45:00Z</dcterms:modified>
</cp:coreProperties>
</file>