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C96FE" w14:textId="77777777" w:rsidR="00670D29" w:rsidRPr="00596422" w:rsidRDefault="00670D29" w:rsidP="00670D29">
      <w:pPr>
        <w:rPr>
          <w:rFonts w:cstheme="minorHAnsi"/>
          <w:b/>
          <w:bCs/>
          <w:sz w:val="28"/>
          <w:szCs w:val="28"/>
        </w:rPr>
      </w:pPr>
      <w:r w:rsidRPr="00596422">
        <w:rPr>
          <w:rFonts w:cstheme="minorHAnsi"/>
          <w:b/>
          <w:bCs/>
          <w:sz w:val="28"/>
          <w:szCs w:val="28"/>
        </w:rPr>
        <w:t>103</w:t>
      </w:r>
      <w:r w:rsidRPr="00596422">
        <w:rPr>
          <w:rFonts w:cstheme="minorHAnsi"/>
          <w:b/>
          <w:bCs/>
          <w:sz w:val="28"/>
          <w:szCs w:val="28"/>
          <w:vertAlign w:val="superscript"/>
        </w:rPr>
        <w:t>rd</w:t>
      </w:r>
      <w:r w:rsidRPr="00596422">
        <w:rPr>
          <w:rFonts w:cstheme="minorHAnsi"/>
          <w:b/>
          <w:bCs/>
          <w:sz w:val="28"/>
          <w:szCs w:val="28"/>
        </w:rPr>
        <w:t xml:space="preserve"> GENERAL ASSEMBLY:</w:t>
      </w:r>
    </w:p>
    <w:p w14:paraId="53799059" w14:textId="3C367C78" w:rsidR="00670D29" w:rsidRDefault="00670D29" w:rsidP="00670D29">
      <w:pPr>
        <w:rPr>
          <w:rFonts w:cstheme="minorHAnsi"/>
        </w:rPr>
      </w:pPr>
      <w:r w:rsidRPr="00363A88">
        <w:rPr>
          <w:rFonts w:cstheme="minorHAnsi"/>
        </w:rPr>
        <w:t xml:space="preserve">The Illinois General Assembly was not in session this week.  The Illinois Senate returns to session on Tuesday, January 24.  The Illinois House returns to session on Tuesday, January 31.  </w:t>
      </w:r>
    </w:p>
    <w:p w14:paraId="1151D752" w14:textId="1F42A8F2" w:rsidR="00353897" w:rsidRDefault="00353897" w:rsidP="00670D29">
      <w:pPr>
        <w:rPr>
          <w:rFonts w:cstheme="minorHAnsi"/>
        </w:rPr>
      </w:pPr>
      <w:r>
        <w:rPr>
          <w:rFonts w:cstheme="minorHAnsi"/>
        </w:rPr>
        <w:t>President Harmon announced his leadership team:</w:t>
      </w:r>
    </w:p>
    <w:p w14:paraId="21E92697" w14:textId="3359A6D0" w:rsidR="00353897" w:rsidRDefault="00353897" w:rsidP="00353897">
      <w:r>
        <w:t>President of the Senate</w:t>
      </w:r>
      <w:r>
        <w:t xml:space="preserve">: </w:t>
      </w:r>
      <w:r>
        <w:t>Don Harmon</w:t>
      </w:r>
      <w:r>
        <w:br/>
      </w:r>
      <w:r>
        <w:t>Majority Leader</w:t>
      </w:r>
      <w:r>
        <w:t xml:space="preserve">: </w:t>
      </w:r>
      <w:r>
        <w:t>Kimberly Lightford</w:t>
      </w:r>
      <w:r>
        <w:br/>
      </w:r>
      <w:r>
        <w:t>President</w:t>
      </w:r>
      <w:r>
        <w:t xml:space="preserve"> </w:t>
      </w:r>
      <w:r>
        <w:t>Pro</w:t>
      </w:r>
      <w:r>
        <w:t xml:space="preserve"> </w:t>
      </w:r>
      <w:r>
        <w:t>Tempore</w:t>
      </w:r>
      <w:r>
        <w:t xml:space="preserve">: </w:t>
      </w:r>
      <w:r>
        <w:t>Bill Cunningham</w:t>
      </w:r>
      <w:r>
        <w:br/>
      </w:r>
      <w:r>
        <w:t>Assistant</w:t>
      </w:r>
      <w:r>
        <w:t xml:space="preserve"> </w:t>
      </w:r>
      <w:r>
        <w:t>Majority Leaders</w:t>
      </w:r>
      <w:r>
        <w:t xml:space="preserve">: </w:t>
      </w:r>
      <w:r>
        <w:t>Mattie Hunter</w:t>
      </w:r>
      <w:r>
        <w:t xml:space="preserve">, </w:t>
      </w:r>
      <w:r>
        <w:t>Linda Holmes</w:t>
      </w:r>
      <w:r>
        <w:t xml:space="preserve">, </w:t>
      </w:r>
      <w:r>
        <w:t>David</w:t>
      </w:r>
      <w:r>
        <w:t xml:space="preserve"> </w:t>
      </w:r>
      <w:r>
        <w:t>Koehler</w:t>
      </w:r>
      <w:r>
        <w:t xml:space="preserve">, </w:t>
      </w:r>
      <w:r>
        <w:t>Laura</w:t>
      </w:r>
      <w:r>
        <w:t xml:space="preserve"> M. M</w:t>
      </w:r>
      <w:r>
        <w:t>urphy</w:t>
      </w:r>
      <w:r>
        <w:br/>
      </w:r>
      <w:r>
        <w:t>Majority</w:t>
      </w:r>
      <w:r>
        <w:t xml:space="preserve"> </w:t>
      </w:r>
      <w:r>
        <w:t>Caucus Chair</w:t>
      </w:r>
      <w:r>
        <w:t xml:space="preserve">: </w:t>
      </w:r>
      <w:r>
        <w:t>Omar</w:t>
      </w:r>
      <w:r>
        <w:t xml:space="preserve"> </w:t>
      </w:r>
      <w:r>
        <w:t>Aquino</w:t>
      </w:r>
      <w:r>
        <w:br/>
      </w:r>
      <w:r>
        <w:t>Majority</w:t>
      </w:r>
      <w:r>
        <w:t xml:space="preserve"> </w:t>
      </w:r>
      <w:r>
        <w:t>Caucus Whips</w:t>
      </w:r>
      <w:r>
        <w:t xml:space="preserve">: </w:t>
      </w:r>
      <w:r>
        <w:t>Julie Morrison,</w:t>
      </w:r>
      <w:r>
        <w:t xml:space="preserve"> </w:t>
      </w:r>
      <w:r>
        <w:t>Napoleon Harris</w:t>
      </w:r>
      <w:r>
        <w:t xml:space="preserve">, III, </w:t>
      </w:r>
      <w:r>
        <w:t>Cristina Castro</w:t>
      </w:r>
      <w:r>
        <w:br/>
      </w:r>
      <w:r>
        <w:t>Majority</w:t>
      </w:r>
      <w:r>
        <w:t xml:space="preserve"> </w:t>
      </w:r>
      <w:r>
        <w:t>Caucus</w:t>
      </w:r>
      <w:r>
        <w:t xml:space="preserve"> </w:t>
      </w:r>
      <w:r>
        <w:t>Appropriations</w:t>
      </w:r>
      <w:r>
        <w:t xml:space="preserve"> </w:t>
      </w:r>
      <w:r>
        <w:t>Leader</w:t>
      </w:r>
      <w:r>
        <w:t xml:space="preserve">: </w:t>
      </w:r>
      <w:r>
        <w:t>Elgie</w:t>
      </w:r>
      <w:r>
        <w:t xml:space="preserve"> R. </w:t>
      </w:r>
      <w:r>
        <w:t>Sims Jr.</w:t>
      </w:r>
    </w:p>
    <w:p w14:paraId="79A38CC1" w14:textId="77777777" w:rsidR="00670D29" w:rsidRPr="00363A88" w:rsidRDefault="00670D29" w:rsidP="00670D29">
      <w:r w:rsidRPr="00363A88">
        <w:t>Speaker Welch announced the formation of 43 House standing committees for the 103</w:t>
      </w:r>
      <w:r w:rsidRPr="00363A88">
        <w:rPr>
          <w:vertAlign w:val="superscript"/>
        </w:rPr>
        <w:t>rd</w:t>
      </w:r>
      <w:r w:rsidRPr="00363A88">
        <w:t xml:space="preserve"> General Assembly along with naming Chairpersons:</w:t>
      </w:r>
    </w:p>
    <w:tbl>
      <w:tblPr>
        <w:tblStyle w:val="TableGrid"/>
        <w:tblW w:w="0" w:type="auto"/>
        <w:tblLook w:val="04A0" w:firstRow="1" w:lastRow="0" w:firstColumn="1" w:lastColumn="0" w:noHBand="0" w:noVBand="1"/>
      </w:tblPr>
      <w:tblGrid>
        <w:gridCol w:w="4675"/>
        <w:gridCol w:w="4675"/>
      </w:tblGrid>
      <w:tr w:rsidR="00670D29" w:rsidRPr="00363A88" w14:paraId="50DF7E44" w14:textId="77777777" w:rsidTr="00343355">
        <w:trPr>
          <w:tblHeader/>
        </w:trPr>
        <w:tc>
          <w:tcPr>
            <w:tcW w:w="4675" w:type="dxa"/>
            <w:shd w:val="clear" w:color="auto" w:fill="E7E6E6" w:themeFill="background2"/>
          </w:tcPr>
          <w:p w14:paraId="125BD3EF" w14:textId="77777777" w:rsidR="00670D29" w:rsidRPr="00363A88" w:rsidRDefault="00670D29" w:rsidP="00343355">
            <w:pPr>
              <w:jc w:val="center"/>
              <w:rPr>
                <w:rFonts w:cstheme="minorHAnsi"/>
                <w:b/>
                <w:bCs/>
              </w:rPr>
            </w:pPr>
            <w:bookmarkStart w:id="0" w:name="_Hlk124861625"/>
            <w:r w:rsidRPr="00363A88">
              <w:rPr>
                <w:rFonts w:cstheme="minorHAnsi"/>
                <w:b/>
                <w:bCs/>
              </w:rPr>
              <w:t>Committee</w:t>
            </w:r>
          </w:p>
        </w:tc>
        <w:tc>
          <w:tcPr>
            <w:tcW w:w="4675" w:type="dxa"/>
            <w:shd w:val="clear" w:color="auto" w:fill="E7E6E6" w:themeFill="background2"/>
          </w:tcPr>
          <w:p w14:paraId="67DE2933" w14:textId="77777777" w:rsidR="00670D29" w:rsidRPr="00363A88" w:rsidRDefault="00670D29" w:rsidP="00343355">
            <w:pPr>
              <w:jc w:val="center"/>
              <w:rPr>
                <w:rFonts w:cstheme="minorHAnsi"/>
                <w:b/>
                <w:bCs/>
              </w:rPr>
            </w:pPr>
            <w:r w:rsidRPr="00363A88">
              <w:rPr>
                <w:rFonts w:cstheme="minorHAnsi"/>
                <w:b/>
                <w:bCs/>
              </w:rPr>
              <w:t>Chairperson</w:t>
            </w:r>
          </w:p>
        </w:tc>
      </w:tr>
      <w:tr w:rsidR="00670D29" w:rsidRPr="00363A88" w14:paraId="5EAA153A" w14:textId="77777777" w:rsidTr="00343355">
        <w:tc>
          <w:tcPr>
            <w:tcW w:w="4675" w:type="dxa"/>
          </w:tcPr>
          <w:p w14:paraId="28FBD065" w14:textId="77777777" w:rsidR="00670D29" w:rsidRPr="00363A88" w:rsidRDefault="00670D29" w:rsidP="00343355">
            <w:pPr>
              <w:rPr>
                <w:rFonts w:cstheme="minorHAnsi"/>
              </w:rPr>
            </w:pPr>
            <w:r w:rsidRPr="00363A88">
              <w:rPr>
                <w:rFonts w:cstheme="minorHAnsi"/>
              </w:rPr>
              <w:t>Appropriations – Elementary and Secondary Education</w:t>
            </w:r>
          </w:p>
        </w:tc>
        <w:tc>
          <w:tcPr>
            <w:tcW w:w="4675" w:type="dxa"/>
          </w:tcPr>
          <w:p w14:paraId="5F76766D" w14:textId="77777777" w:rsidR="00670D29" w:rsidRPr="00363A88" w:rsidRDefault="00670D29" w:rsidP="00343355">
            <w:pPr>
              <w:rPr>
                <w:rFonts w:cstheme="minorHAnsi"/>
              </w:rPr>
            </w:pPr>
            <w:r w:rsidRPr="00363A88">
              <w:rPr>
                <w:rFonts w:cstheme="minorHAnsi"/>
              </w:rPr>
              <w:t>Will Davis</w:t>
            </w:r>
          </w:p>
        </w:tc>
      </w:tr>
      <w:tr w:rsidR="00670D29" w:rsidRPr="00363A88" w14:paraId="344F93E0" w14:textId="77777777" w:rsidTr="00343355">
        <w:tc>
          <w:tcPr>
            <w:tcW w:w="4675" w:type="dxa"/>
          </w:tcPr>
          <w:p w14:paraId="3DFD45E9" w14:textId="77777777" w:rsidR="00670D29" w:rsidRPr="00363A88" w:rsidRDefault="00670D29" w:rsidP="00343355">
            <w:pPr>
              <w:rPr>
                <w:rFonts w:cstheme="minorHAnsi"/>
              </w:rPr>
            </w:pPr>
            <w:r w:rsidRPr="00363A88">
              <w:rPr>
                <w:rFonts w:cstheme="minorHAnsi"/>
              </w:rPr>
              <w:t>Appropriations – General Services</w:t>
            </w:r>
          </w:p>
        </w:tc>
        <w:tc>
          <w:tcPr>
            <w:tcW w:w="4675" w:type="dxa"/>
          </w:tcPr>
          <w:p w14:paraId="386FCE71" w14:textId="77777777" w:rsidR="00670D29" w:rsidRPr="00363A88" w:rsidRDefault="00670D29" w:rsidP="00343355">
            <w:pPr>
              <w:rPr>
                <w:rFonts w:cstheme="minorHAnsi"/>
              </w:rPr>
            </w:pPr>
            <w:r w:rsidRPr="00363A88">
              <w:rPr>
                <w:rFonts w:cstheme="minorHAnsi"/>
              </w:rPr>
              <w:t>Fred Crespo</w:t>
            </w:r>
          </w:p>
        </w:tc>
      </w:tr>
      <w:tr w:rsidR="00670D29" w:rsidRPr="00363A88" w14:paraId="50F76865" w14:textId="77777777" w:rsidTr="00343355">
        <w:tc>
          <w:tcPr>
            <w:tcW w:w="4675" w:type="dxa"/>
          </w:tcPr>
          <w:p w14:paraId="6BE8D582" w14:textId="77777777" w:rsidR="00670D29" w:rsidRPr="00363A88" w:rsidRDefault="00670D29" w:rsidP="00343355">
            <w:pPr>
              <w:rPr>
                <w:rFonts w:cstheme="minorHAnsi"/>
              </w:rPr>
            </w:pPr>
            <w:r w:rsidRPr="00363A88">
              <w:rPr>
                <w:rFonts w:cstheme="minorHAnsi"/>
              </w:rPr>
              <w:t>Appropriations – Health and Human Services</w:t>
            </w:r>
          </w:p>
        </w:tc>
        <w:tc>
          <w:tcPr>
            <w:tcW w:w="4675" w:type="dxa"/>
          </w:tcPr>
          <w:p w14:paraId="5E53D3F6" w14:textId="77777777" w:rsidR="00670D29" w:rsidRPr="00363A88" w:rsidRDefault="00670D29" w:rsidP="00343355">
            <w:pPr>
              <w:rPr>
                <w:rFonts w:cstheme="minorHAnsi"/>
              </w:rPr>
            </w:pPr>
            <w:r w:rsidRPr="00363A88">
              <w:rPr>
                <w:rFonts w:cstheme="minorHAnsi"/>
              </w:rPr>
              <w:t>Camille Lilly</w:t>
            </w:r>
          </w:p>
        </w:tc>
      </w:tr>
      <w:tr w:rsidR="00670D29" w:rsidRPr="00363A88" w14:paraId="0ED51637" w14:textId="77777777" w:rsidTr="00343355">
        <w:tc>
          <w:tcPr>
            <w:tcW w:w="4675" w:type="dxa"/>
          </w:tcPr>
          <w:p w14:paraId="3E6CD756" w14:textId="77777777" w:rsidR="00670D29" w:rsidRPr="00363A88" w:rsidRDefault="00670D29" w:rsidP="00343355">
            <w:pPr>
              <w:rPr>
                <w:rFonts w:cstheme="minorHAnsi"/>
              </w:rPr>
            </w:pPr>
            <w:r w:rsidRPr="00363A88">
              <w:rPr>
                <w:rFonts w:cstheme="minorHAnsi"/>
              </w:rPr>
              <w:t>Appropriations – Higher Education</w:t>
            </w:r>
          </w:p>
        </w:tc>
        <w:tc>
          <w:tcPr>
            <w:tcW w:w="4675" w:type="dxa"/>
          </w:tcPr>
          <w:p w14:paraId="708DE69D" w14:textId="77777777" w:rsidR="00670D29" w:rsidRPr="00363A88" w:rsidRDefault="00670D29" w:rsidP="00343355">
            <w:pPr>
              <w:rPr>
                <w:rFonts w:cstheme="minorHAnsi"/>
              </w:rPr>
            </w:pPr>
            <w:r w:rsidRPr="00363A88">
              <w:rPr>
                <w:rFonts w:cstheme="minorHAnsi"/>
              </w:rPr>
              <w:t>LaShawn Ford</w:t>
            </w:r>
          </w:p>
        </w:tc>
      </w:tr>
      <w:tr w:rsidR="00670D29" w:rsidRPr="00363A88" w14:paraId="2115606E" w14:textId="77777777" w:rsidTr="00343355">
        <w:tc>
          <w:tcPr>
            <w:tcW w:w="4675" w:type="dxa"/>
          </w:tcPr>
          <w:p w14:paraId="1FC1F527" w14:textId="77777777" w:rsidR="00670D29" w:rsidRPr="00363A88" w:rsidRDefault="00670D29" w:rsidP="00343355">
            <w:pPr>
              <w:rPr>
                <w:rFonts w:cstheme="minorHAnsi"/>
              </w:rPr>
            </w:pPr>
            <w:r w:rsidRPr="00363A88">
              <w:rPr>
                <w:rFonts w:cstheme="minorHAnsi"/>
              </w:rPr>
              <w:t>Appropriations – Public Safety</w:t>
            </w:r>
          </w:p>
        </w:tc>
        <w:tc>
          <w:tcPr>
            <w:tcW w:w="4675" w:type="dxa"/>
          </w:tcPr>
          <w:p w14:paraId="6EE6A358" w14:textId="77777777" w:rsidR="00670D29" w:rsidRPr="00363A88" w:rsidRDefault="00670D29" w:rsidP="00343355">
            <w:pPr>
              <w:rPr>
                <w:rFonts w:cstheme="minorHAnsi"/>
              </w:rPr>
            </w:pPr>
            <w:r w:rsidRPr="00363A88">
              <w:rPr>
                <w:rFonts w:cstheme="minorHAnsi"/>
              </w:rPr>
              <w:t>Rita Mayfield</w:t>
            </w:r>
          </w:p>
        </w:tc>
      </w:tr>
      <w:tr w:rsidR="00670D29" w:rsidRPr="00363A88" w14:paraId="12E8D71B" w14:textId="77777777" w:rsidTr="00343355">
        <w:tc>
          <w:tcPr>
            <w:tcW w:w="4675" w:type="dxa"/>
          </w:tcPr>
          <w:p w14:paraId="4C21205F" w14:textId="77777777" w:rsidR="00670D29" w:rsidRPr="00363A88" w:rsidRDefault="00670D29" w:rsidP="00343355">
            <w:pPr>
              <w:rPr>
                <w:rFonts w:cstheme="minorHAnsi"/>
              </w:rPr>
            </w:pPr>
            <w:r w:rsidRPr="00363A88">
              <w:rPr>
                <w:rFonts w:cstheme="minorHAnsi"/>
              </w:rPr>
              <w:t>Adoption and Child Welfare</w:t>
            </w:r>
          </w:p>
        </w:tc>
        <w:tc>
          <w:tcPr>
            <w:tcW w:w="4675" w:type="dxa"/>
          </w:tcPr>
          <w:p w14:paraId="2DE3B022" w14:textId="77777777" w:rsidR="00670D29" w:rsidRPr="00363A88" w:rsidRDefault="00670D29" w:rsidP="00343355">
            <w:pPr>
              <w:rPr>
                <w:rFonts w:cstheme="minorHAnsi"/>
              </w:rPr>
            </w:pPr>
            <w:r w:rsidRPr="00363A88">
              <w:rPr>
                <w:rFonts w:cstheme="minorHAnsi"/>
              </w:rPr>
              <w:t>Terra Costa Howard</w:t>
            </w:r>
          </w:p>
        </w:tc>
      </w:tr>
      <w:tr w:rsidR="00670D29" w:rsidRPr="00363A88" w14:paraId="77B4908B" w14:textId="77777777" w:rsidTr="00343355">
        <w:tc>
          <w:tcPr>
            <w:tcW w:w="4675" w:type="dxa"/>
          </w:tcPr>
          <w:p w14:paraId="0990D69E" w14:textId="77777777" w:rsidR="00670D29" w:rsidRPr="00363A88" w:rsidRDefault="00670D29" w:rsidP="00343355">
            <w:pPr>
              <w:rPr>
                <w:rFonts w:cstheme="minorHAnsi"/>
              </w:rPr>
            </w:pPr>
            <w:r w:rsidRPr="00363A88">
              <w:rPr>
                <w:rFonts w:cstheme="minorHAnsi"/>
              </w:rPr>
              <w:t>Agriculture and Conservation</w:t>
            </w:r>
          </w:p>
        </w:tc>
        <w:tc>
          <w:tcPr>
            <w:tcW w:w="4675" w:type="dxa"/>
          </w:tcPr>
          <w:p w14:paraId="14861A88" w14:textId="77777777" w:rsidR="00670D29" w:rsidRPr="00363A88" w:rsidRDefault="00670D29" w:rsidP="00343355">
            <w:pPr>
              <w:rPr>
                <w:rFonts w:cstheme="minorHAnsi"/>
              </w:rPr>
            </w:pPr>
            <w:r w:rsidRPr="00363A88">
              <w:rPr>
                <w:rFonts w:cstheme="minorHAnsi"/>
              </w:rPr>
              <w:t>Sonya Harper</w:t>
            </w:r>
          </w:p>
        </w:tc>
      </w:tr>
      <w:tr w:rsidR="00670D29" w:rsidRPr="00363A88" w14:paraId="23D1B80B" w14:textId="77777777" w:rsidTr="00343355">
        <w:tc>
          <w:tcPr>
            <w:tcW w:w="4675" w:type="dxa"/>
          </w:tcPr>
          <w:p w14:paraId="651A2D17" w14:textId="77777777" w:rsidR="00670D29" w:rsidRPr="00363A88" w:rsidRDefault="00670D29" w:rsidP="00343355">
            <w:pPr>
              <w:rPr>
                <w:rFonts w:cstheme="minorHAnsi"/>
              </w:rPr>
            </w:pPr>
            <w:r w:rsidRPr="00363A88">
              <w:rPr>
                <w:rFonts w:cstheme="minorHAnsi"/>
              </w:rPr>
              <w:t>Childcare Access and Early Childhood Education</w:t>
            </w:r>
          </w:p>
        </w:tc>
        <w:tc>
          <w:tcPr>
            <w:tcW w:w="4675" w:type="dxa"/>
          </w:tcPr>
          <w:p w14:paraId="3840AA4A" w14:textId="77777777" w:rsidR="00670D29" w:rsidRPr="00363A88" w:rsidRDefault="00670D29" w:rsidP="00343355">
            <w:pPr>
              <w:rPr>
                <w:rFonts w:cstheme="minorHAnsi"/>
              </w:rPr>
            </w:pPr>
            <w:r w:rsidRPr="00363A88">
              <w:rPr>
                <w:rFonts w:cstheme="minorHAnsi"/>
              </w:rPr>
              <w:t>Joyce Mason</w:t>
            </w:r>
          </w:p>
        </w:tc>
      </w:tr>
      <w:tr w:rsidR="00670D29" w:rsidRPr="00363A88" w14:paraId="418B7F9C" w14:textId="77777777" w:rsidTr="00343355">
        <w:tc>
          <w:tcPr>
            <w:tcW w:w="4675" w:type="dxa"/>
          </w:tcPr>
          <w:p w14:paraId="3F8E4BB2" w14:textId="77777777" w:rsidR="00670D29" w:rsidRPr="00363A88" w:rsidRDefault="00670D29" w:rsidP="00343355">
            <w:pPr>
              <w:rPr>
                <w:rFonts w:cstheme="minorHAnsi"/>
              </w:rPr>
            </w:pPr>
            <w:r w:rsidRPr="00363A88">
              <w:rPr>
                <w:rFonts w:cstheme="minorHAnsi"/>
              </w:rPr>
              <w:t>Cities and Villages</w:t>
            </w:r>
          </w:p>
        </w:tc>
        <w:tc>
          <w:tcPr>
            <w:tcW w:w="4675" w:type="dxa"/>
          </w:tcPr>
          <w:p w14:paraId="50FAD35D" w14:textId="77777777" w:rsidR="00670D29" w:rsidRPr="00363A88" w:rsidRDefault="00670D29" w:rsidP="00343355">
            <w:pPr>
              <w:rPr>
                <w:rFonts w:cstheme="minorHAnsi"/>
              </w:rPr>
            </w:pPr>
            <w:r w:rsidRPr="00363A88">
              <w:rPr>
                <w:rFonts w:cstheme="minorHAnsi"/>
              </w:rPr>
              <w:t>Anthony DeLuca</w:t>
            </w:r>
          </w:p>
        </w:tc>
      </w:tr>
      <w:tr w:rsidR="00670D29" w:rsidRPr="00363A88" w14:paraId="75621747" w14:textId="77777777" w:rsidTr="00343355">
        <w:tc>
          <w:tcPr>
            <w:tcW w:w="4675" w:type="dxa"/>
          </w:tcPr>
          <w:p w14:paraId="1FAB61EF" w14:textId="77777777" w:rsidR="00670D29" w:rsidRPr="00363A88" w:rsidRDefault="00670D29" w:rsidP="00343355">
            <w:pPr>
              <w:rPr>
                <w:rFonts w:cstheme="minorHAnsi"/>
              </w:rPr>
            </w:pPr>
            <w:r w:rsidRPr="00363A88">
              <w:rPr>
                <w:rFonts w:cstheme="minorHAnsi"/>
              </w:rPr>
              <w:t>Consumer Protection</w:t>
            </w:r>
          </w:p>
        </w:tc>
        <w:tc>
          <w:tcPr>
            <w:tcW w:w="4675" w:type="dxa"/>
          </w:tcPr>
          <w:p w14:paraId="0CD8D4A3" w14:textId="77777777" w:rsidR="00670D29" w:rsidRPr="00363A88" w:rsidRDefault="00670D29" w:rsidP="00343355">
            <w:pPr>
              <w:rPr>
                <w:rFonts w:cstheme="minorHAnsi"/>
              </w:rPr>
            </w:pPr>
            <w:r w:rsidRPr="00363A88">
              <w:rPr>
                <w:rFonts w:cstheme="minorHAnsi"/>
              </w:rPr>
              <w:t>Debbie Meyers-Martin</w:t>
            </w:r>
          </w:p>
        </w:tc>
      </w:tr>
      <w:tr w:rsidR="00670D29" w:rsidRPr="00363A88" w14:paraId="094C06A3" w14:textId="77777777" w:rsidTr="00343355">
        <w:tc>
          <w:tcPr>
            <w:tcW w:w="4675" w:type="dxa"/>
          </w:tcPr>
          <w:p w14:paraId="4F23E31F" w14:textId="77777777" w:rsidR="00670D29" w:rsidRPr="00363A88" w:rsidRDefault="00670D29" w:rsidP="00343355">
            <w:pPr>
              <w:rPr>
                <w:rFonts w:cstheme="minorHAnsi"/>
              </w:rPr>
            </w:pPr>
            <w:r w:rsidRPr="00363A88">
              <w:rPr>
                <w:rFonts w:cstheme="minorHAnsi"/>
              </w:rPr>
              <w:t>Counties and Townships</w:t>
            </w:r>
          </w:p>
        </w:tc>
        <w:tc>
          <w:tcPr>
            <w:tcW w:w="4675" w:type="dxa"/>
          </w:tcPr>
          <w:p w14:paraId="2ECCFE7E" w14:textId="77777777" w:rsidR="00670D29" w:rsidRPr="00363A88" w:rsidRDefault="00670D29" w:rsidP="00343355">
            <w:pPr>
              <w:rPr>
                <w:rFonts w:cstheme="minorHAnsi"/>
              </w:rPr>
            </w:pPr>
            <w:r w:rsidRPr="00363A88">
              <w:rPr>
                <w:rFonts w:cstheme="minorHAnsi"/>
              </w:rPr>
              <w:t>Curtis Tarver</w:t>
            </w:r>
          </w:p>
        </w:tc>
      </w:tr>
      <w:tr w:rsidR="00670D29" w:rsidRPr="00363A88" w14:paraId="734BE940" w14:textId="77777777" w:rsidTr="00343355">
        <w:tc>
          <w:tcPr>
            <w:tcW w:w="4675" w:type="dxa"/>
          </w:tcPr>
          <w:p w14:paraId="44A74D0B" w14:textId="77777777" w:rsidR="00670D29" w:rsidRPr="00363A88" w:rsidRDefault="00670D29" w:rsidP="00343355">
            <w:pPr>
              <w:rPr>
                <w:rFonts w:cstheme="minorHAnsi"/>
              </w:rPr>
            </w:pPr>
            <w:r w:rsidRPr="00363A88">
              <w:rPr>
                <w:rFonts w:cstheme="minorHAnsi"/>
              </w:rPr>
              <w:t xml:space="preserve">Cybersecurity, Data </w:t>
            </w:r>
            <w:proofErr w:type="gramStart"/>
            <w:r w:rsidRPr="00363A88">
              <w:rPr>
                <w:rFonts w:cstheme="minorHAnsi"/>
              </w:rPr>
              <w:t>Analytics</w:t>
            </w:r>
            <w:proofErr w:type="gramEnd"/>
            <w:r w:rsidRPr="00363A88">
              <w:rPr>
                <w:rFonts w:cstheme="minorHAnsi"/>
              </w:rPr>
              <w:t xml:space="preserve"> and IT</w:t>
            </w:r>
          </w:p>
        </w:tc>
        <w:tc>
          <w:tcPr>
            <w:tcW w:w="4675" w:type="dxa"/>
          </w:tcPr>
          <w:p w14:paraId="614370D1" w14:textId="77777777" w:rsidR="00670D29" w:rsidRPr="00363A88" w:rsidRDefault="00670D29" w:rsidP="00343355">
            <w:pPr>
              <w:rPr>
                <w:rFonts w:cstheme="minorHAnsi"/>
              </w:rPr>
            </w:pPr>
            <w:r w:rsidRPr="00363A88">
              <w:rPr>
                <w:rFonts w:cstheme="minorHAnsi"/>
              </w:rPr>
              <w:t>Lamont Robinson</w:t>
            </w:r>
          </w:p>
        </w:tc>
      </w:tr>
      <w:tr w:rsidR="00670D29" w:rsidRPr="00363A88" w14:paraId="7E93CAAA" w14:textId="77777777" w:rsidTr="00343355">
        <w:tc>
          <w:tcPr>
            <w:tcW w:w="4675" w:type="dxa"/>
          </w:tcPr>
          <w:p w14:paraId="42402899" w14:textId="77777777" w:rsidR="00670D29" w:rsidRPr="00363A88" w:rsidRDefault="00670D29" w:rsidP="00343355">
            <w:pPr>
              <w:rPr>
                <w:rFonts w:cstheme="minorHAnsi"/>
              </w:rPr>
            </w:pPr>
            <w:r w:rsidRPr="00363A88">
              <w:rPr>
                <w:rFonts w:cstheme="minorHAnsi"/>
              </w:rPr>
              <w:t>Economic Opportunity and Equity</w:t>
            </w:r>
          </w:p>
        </w:tc>
        <w:tc>
          <w:tcPr>
            <w:tcW w:w="4675" w:type="dxa"/>
          </w:tcPr>
          <w:p w14:paraId="3262423C" w14:textId="77777777" w:rsidR="00670D29" w:rsidRPr="00363A88" w:rsidRDefault="00670D29" w:rsidP="00343355">
            <w:pPr>
              <w:rPr>
                <w:rFonts w:cstheme="minorHAnsi"/>
              </w:rPr>
            </w:pPr>
            <w:r w:rsidRPr="00363A88">
              <w:rPr>
                <w:rFonts w:cstheme="minorHAnsi"/>
              </w:rPr>
              <w:t>Edgar Gonzalez, Jr.</w:t>
            </w:r>
          </w:p>
        </w:tc>
      </w:tr>
      <w:tr w:rsidR="00670D29" w:rsidRPr="00363A88" w14:paraId="057A68CD" w14:textId="77777777" w:rsidTr="00343355">
        <w:tc>
          <w:tcPr>
            <w:tcW w:w="4675" w:type="dxa"/>
          </w:tcPr>
          <w:p w14:paraId="06D2D7EB" w14:textId="77777777" w:rsidR="00670D29" w:rsidRPr="00363A88" w:rsidRDefault="00670D29" w:rsidP="00343355">
            <w:pPr>
              <w:rPr>
                <w:rFonts w:cstheme="minorHAnsi"/>
              </w:rPr>
            </w:pPr>
            <w:r w:rsidRPr="00363A88">
              <w:rPr>
                <w:rFonts w:cstheme="minorHAnsi"/>
              </w:rPr>
              <w:t>Elem/Sec Education:  Admin, Licensing and Charters</w:t>
            </w:r>
          </w:p>
        </w:tc>
        <w:tc>
          <w:tcPr>
            <w:tcW w:w="4675" w:type="dxa"/>
          </w:tcPr>
          <w:p w14:paraId="61B20519" w14:textId="77777777" w:rsidR="00670D29" w:rsidRPr="00363A88" w:rsidRDefault="00670D29" w:rsidP="00343355">
            <w:pPr>
              <w:rPr>
                <w:rFonts w:cstheme="minorHAnsi"/>
              </w:rPr>
            </w:pPr>
            <w:r w:rsidRPr="00363A88">
              <w:rPr>
                <w:rFonts w:cstheme="minorHAnsi"/>
              </w:rPr>
              <w:t>Sue Scherer</w:t>
            </w:r>
          </w:p>
        </w:tc>
      </w:tr>
      <w:tr w:rsidR="00670D29" w:rsidRPr="00363A88" w14:paraId="405CFA2B" w14:textId="77777777" w:rsidTr="00343355">
        <w:tc>
          <w:tcPr>
            <w:tcW w:w="4675" w:type="dxa"/>
          </w:tcPr>
          <w:p w14:paraId="44133659" w14:textId="77777777" w:rsidR="00670D29" w:rsidRPr="00363A88" w:rsidRDefault="00670D29" w:rsidP="00343355">
            <w:pPr>
              <w:rPr>
                <w:rFonts w:cstheme="minorHAnsi"/>
              </w:rPr>
            </w:pPr>
            <w:r w:rsidRPr="00363A88">
              <w:rPr>
                <w:rFonts w:cstheme="minorHAnsi"/>
              </w:rPr>
              <w:t>Elem/Sec Education:  School Curriculum &amp; Policies</w:t>
            </w:r>
          </w:p>
        </w:tc>
        <w:tc>
          <w:tcPr>
            <w:tcW w:w="4675" w:type="dxa"/>
          </w:tcPr>
          <w:p w14:paraId="3018BED0" w14:textId="77777777" w:rsidR="00670D29" w:rsidRPr="00363A88" w:rsidRDefault="00670D29" w:rsidP="00343355">
            <w:pPr>
              <w:rPr>
                <w:rFonts w:cstheme="minorHAnsi"/>
              </w:rPr>
            </w:pPr>
            <w:r w:rsidRPr="00363A88">
              <w:rPr>
                <w:rFonts w:cstheme="minorHAnsi"/>
              </w:rPr>
              <w:t>Michelle Mussman</w:t>
            </w:r>
          </w:p>
        </w:tc>
      </w:tr>
      <w:tr w:rsidR="00670D29" w:rsidRPr="00363A88" w14:paraId="0C3BDDFB" w14:textId="77777777" w:rsidTr="00343355">
        <w:tc>
          <w:tcPr>
            <w:tcW w:w="4675" w:type="dxa"/>
          </w:tcPr>
          <w:p w14:paraId="49F61DD6" w14:textId="77777777" w:rsidR="00670D29" w:rsidRPr="00363A88" w:rsidRDefault="00670D29" w:rsidP="00343355">
            <w:pPr>
              <w:rPr>
                <w:rFonts w:cstheme="minorHAnsi"/>
              </w:rPr>
            </w:pPr>
            <w:r w:rsidRPr="00363A88">
              <w:rPr>
                <w:rFonts w:cstheme="minorHAnsi"/>
              </w:rPr>
              <w:t>Energy &amp; Environment</w:t>
            </w:r>
          </w:p>
        </w:tc>
        <w:tc>
          <w:tcPr>
            <w:tcW w:w="4675" w:type="dxa"/>
          </w:tcPr>
          <w:p w14:paraId="01E368E6" w14:textId="77777777" w:rsidR="00670D29" w:rsidRPr="00363A88" w:rsidRDefault="00670D29" w:rsidP="00343355">
            <w:pPr>
              <w:rPr>
                <w:rFonts w:cstheme="minorHAnsi"/>
              </w:rPr>
            </w:pPr>
            <w:r w:rsidRPr="00363A88">
              <w:rPr>
                <w:rFonts w:cstheme="minorHAnsi"/>
              </w:rPr>
              <w:t>Ann Williams</w:t>
            </w:r>
          </w:p>
        </w:tc>
      </w:tr>
      <w:tr w:rsidR="00670D29" w:rsidRPr="00363A88" w14:paraId="7D7D4E23" w14:textId="77777777" w:rsidTr="00343355">
        <w:tc>
          <w:tcPr>
            <w:tcW w:w="4675" w:type="dxa"/>
          </w:tcPr>
          <w:p w14:paraId="6FBF8FEB" w14:textId="77777777" w:rsidR="00670D29" w:rsidRPr="00363A88" w:rsidRDefault="00670D29" w:rsidP="00343355">
            <w:pPr>
              <w:rPr>
                <w:rFonts w:cstheme="minorHAnsi"/>
              </w:rPr>
            </w:pPr>
            <w:r w:rsidRPr="00363A88">
              <w:rPr>
                <w:rFonts w:cstheme="minorHAnsi"/>
              </w:rPr>
              <w:t>Ethics &amp; Elections</w:t>
            </w:r>
          </w:p>
        </w:tc>
        <w:tc>
          <w:tcPr>
            <w:tcW w:w="4675" w:type="dxa"/>
          </w:tcPr>
          <w:p w14:paraId="230121E0" w14:textId="77777777" w:rsidR="00670D29" w:rsidRPr="00363A88" w:rsidRDefault="00670D29" w:rsidP="00343355">
            <w:pPr>
              <w:rPr>
                <w:rFonts w:cstheme="minorHAnsi"/>
              </w:rPr>
            </w:pPr>
            <w:r w:rsidRPr="00363A88">
              <w:rPr>
                <w:rFonts w:cstheme="minorHAnsi"/>
              </w:rPr>
              <w:t>Maurice West</w:t>
            </w:r>
          </w:p>
        </w:tc>
      </w:tr>
      <w:tr w:rsidR="00670D29" w:rsidRPr="00363A88" w14:paraId="40A8F5DA" w14:textId="77777777" w:rsidTr="00343355">
        <w:tc>
          <w:tcPr>
            <w:tcW w:w="4675" w:type="dxa"/>
          </w:tcPr>
          <w:p w14:paraId="4B2B84A8" w14:textId="77777777" w:rsidR="00670D29" w:rsidRPr="00363A88" w:rsidRDefault="00670D29" w:rsidP="00343355">
            <w:pPr>
              <w:rPr>
                <w:rFonts w:cstheme="minorHAnsi"/>
              </w:rPr>
            </w:pPr>
            <w:r w:rsidRPr="00363A88">
              <w:rPr>
                <w:rFonts w:cstheme="minorHAnsi"/>
              </w:rPr>
              <w:t>Executive</w:t>
            </w:r>
          </w:p>
        </w:tc>
        <w:tc>
          <w:tcPr>
            <w:tcW w:w="4675" w:type="dxa"/>
          </w:tcPr>
          <w:p w14:paraId="5F8D0941" w14:textId="77777777" w:rsidR="00670D29" w:rsidRPr="00363A88" w:rsidRDefault="00670D29" w:rsidP="00343355">
            <w:pPr>
              <w:rPr>
                <w:rFonts w:cstheme="minorHAnsi"/>
              </w:rPr>
            </w:pPr>
            <w:r w:rsidRPr="00363A88">
              <w:rPr>
                <w:rFonts w:cstheme="minorHAnsi"/>
              </w:rPr>
              <w:t>Robert Rita</w:t>
            </w:r>
          </w:p>
        </w:tc>
      </w:tr>
      <w:tr w:rsidR="00670D29" w:rsidRPr="00363A88" w14:paraId="075E5E9B" w14:textId="77777777" w:rsidTr="00343355">
        <w:tc>
          <w:tcPr>
            <w:tcW w:w="4675" w:type="dxa"/>
          </w:tcPr>
          <w:p w14:paraId="2CEC93F9" w14:textId="77777777" w:rsidR="00670D29" w:rsidRPr="00363A88" w:rsidRDefault="00670D29" w:rsidP="00343355">
            <w:pPr>
              <w:rPr>
                <w:rFonts w:cstheme="minorHAnsi"/>
              </w:rPr>
            </w:pPr>
            <w:r w:rsidRPr="00363A88">
              <w:rPr>
                <w:rFonts w:cstheme="minorHAnsi"/>
              </w:rPr>
              <w:t>Financial Institutions and Licensing</w:t>
            </w:r>
          </w:p>
        </w:tc>
        <w:tc>
          <w:tcPr>
            <w:tcW w:w="4675" w:type="dxa"/>
          </w:tcPr>
          <w:p w14:paraId="0AF580E4" w14:textId="77777777" w:rsidR="00670D29" w:rsidRPr="00363A88" w:rsidRDefault="00670D29" w:rsidP="00343355">
            <w:pPr>
              <w:rPr>
                <w:rFonts w:cstheme="minorHAnsi"/>
              </w:rPr>
            </w:pPr>
            <w:r w:rsidRPr="00363A88">
              <w:rPr>
                <w:rFonts w:cstheme="minorHAnsi"/>
              </w:rPr>
              <w:t>Margaret Croke</w:t>
            </w:r>
          </w:p>
        </w:tc>
      </w:tr>
      <w:tr w:rsidR="00670D29" w:rsidRPr="00363A88" w14:paraId="242D43F0" w14:textId="77777777" w:rsidTr="00343355">
        <w:tc>
          <w:tcPr>
            <w:tcW w:w="4675" w:type="dxa"/>
          </w:tcPr>
          <w:p w14:paraId="4A60277D" w14:textId="77777777" w:rsidR="00670D29" w:rsidRPr="00363A88" w:rsidRDefault="00670D29" w:rsidP="00343355">
            <w:pPr>
              <w:rPr>
                <w:rFonts w:cstheme="minorHAnsi"/>
              </w:rPr>
            </w:pPr>
            <w:r w:rsidRPr="00363A88">
              <w:rPr>
                <w:rFonts w:cstheme="minorHAnsi"/>
              </w:rPr>
              <w:t>Gaming</w:t>
            </w:r>
          </w:p>
        </w:tc>
        <w:tc>
          <w:tcPr>
            <w:tcW w:w="4675" w:type="dxa"/>
          </w:tcPr>
          <w:p w14:paraId="65D7D5AD" w14:textId="77777777" w:rsidR="00670D29" w:rsidRPr="00363A88" w:rsidRDefault="00670D29" w:rsidP="00343355">
            <w:pPr>
              <w:rPr>
                <w:rFonts w:cstheme="minorHAnsi"/>
              </w:rPr>
            </w:pPr>
            <w:r w:rsidRPr="00363A88">
              <w:rPr>
                <w:rFonts w:cstheme="minorHAnsi"/>
              </w:rPr>
              <w:t xml:space="preserve">Daniel </w:t>
            </w:r>
            <w:proofErr w:type="spellStart"/>
            <w:r w:rsidRPr="00363A88">
              <w:rPr>
                <w:rFonts w:cstheme="minorHAnsi"/>
              </w:rPr>
              <w:t>Didech</w:t>
            </w:r>
            <w:proofErr w:type="spellEnd"/>
          </w:p>
        </w:tc>
      </w:tr>
      <w:tr w:rsidR="00670D29" w:rsidRPr="00363A88" w14:paraId="23829EA2" w14:textId="77777777" w:rsidTr="00343355">
        <w:tc>
          <w:tcPr>
            <w:tcW w:w="4675" w:type="dxa"/>
          </w:tcPr>
          <w:p w14:paraId="77940BDA" w14:textId="77777777" w:rsidR="00670D29" w:rsidRPr="00363A88" w:rsidRDefault="00670D29" w:rsidP="00343355">
            <w:pPr>
              <w:rPr>
                <w:rFonts w:cstheme="minorHAnsi"/>
              </w:rPr>
            </w:pPr>
            <w:r w:rsidRPr="00363A88">
              <w:rPr>
                <w:rFonts w:cstheme="minorHAnsi"/>
              </w:rPr>
              <w:t>Healthcare Licenses</w:t>
            </w:r>
          </w:p>
        </w:tc>
        <w:tc>
          <w:tcPr>
            <w:tcW w:w="4675" w:type="dxa"/>
          </w:tcPr>
          <w:p w14:paraId="059796D8" w14:textId="77777777" w:rsidR="00670D29" w:rsidRPr="00363A88" w:rsidRDefault="00670D29" w:rsidP="00343355">
            <w:pPr>
              <w:rPr>
                <w:rFonts w:cstheme="minorHAnsi"/>
              </w:rPr>
            </w:pPr>
            <w:r w:rsidRPr="00363A88">
              <w:rPr>
                <w:rFonts w:cstheme="minorHAnsi"/>
              </w:rPr>
              <w:t>Bob Morgan</w:t>
            </w:r>
          </w:p>
        </w:tc>
      </w:tr>
      <w:tr w:rsidR="00670D29" w:rsidRPr="00363A88" w14:paraId="0B128313" w14:textId="77777777" w:rsidTr="00343355">
        <w:tc>
          <w:tcPr>
            <w:tcW w:w="4675" w:type="dxa"/>
          </w:tcPr>
          <w:p w14:paraId="650C6F3C" w14:textId="77777777" w:rsidR="00670D29" w:rsidRPr="00363A88" w:rsidRDefault="00670D29" w:rsidP="00343355">
            <w:pPr>
              <w:rPr>
                <w:rFonts w:cstheme="minorHAnsi"/>
              </w:rPr>
            </w:pPr>
            <w:r w:rsidRPr="00363A88">
              <w:rPr>
                <w:rFonts w:cstheme="minorHAnsi"/>
              </w:rPr>
              <w:t>Health Care Availability and Access</w:t>
            </w:r>
          </w:p>
        </w:tc>
        <w:tc>
          <w:tcPr>
            <w:tcW w:w="4675" w:type="dxa"/>
          </w:tcPr>
          <w:p w14:paraId="29144E74" w14:textId="77777777" w:rsidR="00670D29" w:rsidRPr="00363A88" w:rsidRDefault="00670D29" w:rsidP="00343355">
            <w:pPr>
              <w:rPr>
                <w:rFonts w:cstheme="minorHAnsi"/>
              </w:rPr>
            </w:pPr>
            <w:r w:rsidRPr="00363A88">
              <w:rPr>
                <w:rFonts w:cstheme="minorHAnsi"/>
              </w:rPr>
              <w:t>Lakesia Collins</w:t>
            </w:r>
          </w:p>
        </w:tc>
      </w:tr>
      <w:tr w:rsidR="00670D29" w:rsidRPr="00363A88" w14:paraId="1524D528" w14:textId="77777777" w:rsidTr="00343355">
        <w:tc>
          <w:tcPr>
            <w:tcW w:w="4675" w:type="dxa"/>
          </w:tcPr>
          <w:p w14:paraId="603B1597" w14:textId="77777777" w:rsidR="00670D29" w:rsidRPr="00363A88" w:rsidRDefault="00670D29" w:rsidP="00343355">
            <w:pPr>
              <w:rPr>
                <w:rFonts w:cstheme="minorHAnsi"/>
              </w:rPr>
            </w:pPr>
            <w:r w:rsidRPr="00363A88">
              <w:rPr>
                <w:rFonts w:cstheme="minorHAnsi"/>
              </w:rPr>
              <w:t>Higher Education</w:t>
            </w:r>
          </w:p>
        </w:tc>
        <w:tc>
          <w:tcPr>
            <w:tcW w:w="4675" w:type="dxa"/>
          </w:tcPr>
          <w:p w14:paraId="55B829B5" w14:textId="77777777" w:rsidR="00670D29" w:rsidRPr="00363A88" w:rsidRDefault="00670D29" w:rsidP="00343355">
            <w:pPr>
              <w:rPr>
                <w:rFonts w:cstheme="minorHAnsi"/>
              </w:rPr>
            </w:pPr>
            <w:r w:rsidRPr="00363A88">
              <w:rPr>
                <w:rFonts w:cstheme="minorHAnsi"/>
              </w:rPr>
              <w:t>Katie Stuart</w:t>
            </w:r>
          </w:p>
        </w:tc>
      </w:tr>
      <w:tr w:rsidR="00670D29" w:rsidRPr="00363A88" w14:paraId="0584DB06" w14:textId="77777777" w:rsidTr="00343355">
        <w:tc>
          <w:tcPr>
            <w:tcW w:w="4675" w:type="dxa"/>
          </w:tcPr>
          <w:p w14:paraId="41120F30" w14:textId="77777777" w:rsidR="00670D29" w:rsidRPr="00363A88" w:rsidRDefault="00670D29" w:rsidP="00343355">
            <w:pPr>
              <w:rPr>
                <w:rFonts w:cstheme="minorHAnsi"/>
              </w:rPr>
            </w:pPr>
            <w:r w:rsidRPr="00363A88">
              <w:rPr>
                <w:rFonts w:cstheme="minorHAnsi"/>
              </w:rPr>
              <w:t>Housing</w:t>
            </w:r>
          </w:p>
        </w:tc>
        <w:tc>
          <w:tcPr>
            <w:tcW w:w="4675" w:type="dxa"/>
          </w:tcPr>
          <w:p w14:paraId="6CDD6BFE" w14:textId="77777777" w:rsidR="00670D29" w:rsidRPr="00363A88" w:rsidRDefault="00670D29" w:rsidP="00343355">
            <w:pPr>
              <w:rPr>
                <w:rFonts w:cstheme="minorHAnsi"/>
              </w:rPr>
            </w:pPr>
            <w:r w:rsidRPr="00363A88">
              <w:rPr>
                <w:rFonts w:cstheme="minorHAnsi"/>
              </w:rPr>
              <w:t>Will Guzzardi</w:t>
            </w:r>
          </w:p>
        </w:tc>
      </w:tr>
      <w:tr w:rsidR="00670D29" w:rsidRPr="00363A88" w14:paraId="3E968569" w14:textId="77777777" w:rsidTr="00343355">
        <w:tc>
          <w:tcPr>
            <w:tcW w:w="4675" w:type="dxa"/>
          </w:tcPr>
          <w:p w14:paraId="54D33072" w14:textId="77777777" w:rsidR="00670D29" w:rsidRPr="00363A88" w:rsidRDefault="00670D29" w:rsidP="00343355">
            <w:pPr>
              <w:rPr>
                <w:rFonts w:cstheme="minorHAnsi"/>
              </w:rPr>
            </w:pPr>
            <w:r w:rsidRPr="00363A88">
              <w:rPr>
                <w:rFonts w:cstheme="minorHAnsi"/>
              </w:rPr>
              <w:t>Human Services</w:t>
            </w:r>
          </w:p>
        </w:tc>
        <w:tc>
          <w:tcPr>
            <w:tcW w:w="4675" w:type="dxa"/>
          </w:tcPr>
          <w:p w14:paraId="44F67941" w14:textId="77777777" w:rsidR="00670D29" w:rsidRPr="00363A88" w:rsidRDefault="00670D29" w:rsidP="00343355">
            <w:pPr>
              <w:rPr>
                <w:rFonts w:cstheme="minorHAnsi"/>
              </w:rPr>
            </w:pPr>
            <w:r w:rsidRPr="00363A88">
              <w:rPr>
                <w:rFonts w:cstheme="minorHAnsi"/>
              </w:rPr>
              <w:t>Anna Moeller</w:t>
            </w:r>
          </w:p>
        </w:tc>
      </w:tr>
      <w:tr w:rsidR="00670D29" w:rsidRPr="00363A88" w14:paraId="2A6F26CF" w14:textId="77777777" w:rsidTr="00343355">
        <w:tc>
          <w:tcPr>
            <w:tcW w:w="4675" w:type="dxa"/>
          </w:tcPr>
          <w:p w14:paraId="2F88DBF8" w14:textId="77777777" w:rsidR="00670D29" w:rsidRPr="00363A88" w:rsidRDefault="00670D29" w:rsidP="00343355">
            <w:pPr>
              <w:rPr>
                <w:rFonts w:cstheme="minorHAnsi"/>
              </w:rPr>
            </w:pPr>
            <w:r w:rsidRPr="00363A88">
              <w:rPr>
                <w:rFonts w:cstheme="minorHAnsi"/>
              </w:rPr>
              <w:lastRenderedPageBreak/>
              <w:t>Immigration and Human Rights</w:t>
            </w:r>
          </w:p>
        </w:tc>
        <w:tc>
          <w:tcPr>
            <w:tcW w:w="4675" w:type="dxa"/>
          </w:tcPr>
          <w:p w14:paraId="306B963B" w14:textId="77777777" w:rsidR="00670D29" w:rsidRPr="00363A88" w:rsidRDefault="00670D29" w:rsidP="00343355">
            <w:r w:rsidRPr="00363A88">
              <w:t>Eva-Dina Delgado</w:t>
            </w:r>
          </w:p>
        </w:tc>
      </w:tr>
      <w:tr w:rsidR="00670D29" w:rsidRPr="00363A88" w14:paraId="514A710E" w14:textId="77777777" w:rsidTr="00343355">
        <w:tc>
          <w:tcPr>
            <w:tcW w:w="4675" w:type="dxa"/>
          </w:tcPr>
          <w:p w14:paraId="053090B8" w14:textId="77777777" w:rsidR="00670D29" w:rsidRPr="00363A88" w:rsidRDefault="00670D29" w:rsidP="00343355">
            <w:pPr>
              <w:rPr>
                <w:rFonts w:cstheme="minorHAnsi"/>
              </w:rPr>
            </w:pPr>
            <w:r w:rsidRPr="00363A88">
              <w:rPr>
                <w:rFonts w:cstheme="minorHAnsi"/>
              </w:rPr>
              <w:t>Insurance</w:t>
            </w:r>
          </w:p>
        </w:tc>
        <w:tc>
          <w:tcPr>
            <w:tcW w:w="4675" w:type="dxa"/>
          </w:tcPr>
          <w:p w14:paraId="332C9B31" w14:textId="77777777" w:rsidR="00670D29" w:rsidRPr="00363A88" w:rsidRDefault="00670D29" w:rsidP="00343355">
            <w:pPr>
              <w:rPr>
                <w:rFonts w:cstheme="minorHAnsi"/>
              </w:rPr>
            </w:pPr>
            <w:r w:rsidRPr="00363A88">
              <w:rPr>
                <w:rFonts w:cstheme="minorHAnsi"/>
              </w:rPr>
              <w:t>Thaddeus Jones</w:t>
            </w:r>
          </w:p>
        </w:tc>
      </w:tr>
      <w:tr w:rsidR="00670D29" w:rsidRPr="00363A88" w14:paraId="2A4CB4A1" w14:textId="77777777" w:rsidTr="00343355">
        <w:tc>
          <w:tcPr>
            <w:tcW w:w="4675" w:type="dxa"/>
          </w:tcPr>
          <w:p w14:paraId="2FE00027" w14:textId="77777777" w:rsidR="00670D29" w:rsidRPr="00363A88" w:rsidRDefault="00670D29" w:rsidP="00343355">
            <w:pPr>
              <w:rPr>
                <w:rFonts w:cstheme="minorHAnsi"/>
              </w:rPr>
            </w:pPr>
            <w:r w:rsidRPr="00363A88">
              <w:rPr>
                <w:rFonts w:cstheme="minorHAnsi"/>
              </w:rPr>
              <w:t>Judiciary – Civil</w:t>
            </w:r>
          </w:p>
        </w:tc>
        <w:tc>
          <w:tcPr>
            <w:tcW w:w="4675" w:type="dxa"/>
          </w:tcPr>
          <w:p w14:paraId="3F729862" w14:textId="77777777" w:rsidR="00670D29" w:rsidRPr="00363A88" w:rsidRDefault="00670D29" w:rsidP="00343355">
            <w:pPr>
              <w:rPr>
                <w:rFonts w:cstheme="minorHAnsi"/>
              </w:rPr>
            </w:pPr>
            <w:r w:rsidRPr="00363A88">
              <w:rPr>
                <w:rFonts w:cstheme="minorHAnsi"/>
              </w:rPr>
              <w:t>Jennifer Gong-Gershowitz</w:t>
            </w:r>
          </w:p>
        </w:tc>
      </w:tr>
      <w:tr w:rsidR="00670D29" w:rsidRPr="00363A88" w14:paraId="28F6B823" w14:textId="77777777" w:rsidTr="00343355">
        <w:tc>
          <w:tcPr>
            <w:tcW w:w="4675" w:type="dxa"/>
          </w:tcPr>
          <w:p w14:paraId="5BBA53D6" w14:textId="77777777" w:rsidR="00670D29" w:rsidRPr="00363A88" w:rsidRDefault="00670D29" w:rsidP="00343355">
            <w:pPr>
              <w:rPr>
                <w:rFonts w:cstheme="minorHAnsi"/>
              </w:rPr>
            </w:pPr>
            <w:r w:rsidRPr="00363A88">
              <w:rPr>
                <w:rFonts w:cstheme="minorHAnsi"/>
              </w:rPr>
              <w:t>Judiciary – Criminal</w:t>
            </w:r>
          </w:p>
        </w:tc>
        <w:tc>
          <w:tcPr>
            <w:tcW w:w="4675" w:type="dxa"/>
          </w:tcPr>
          <w:p w14:paraId="162F204C" w14:textId="77777777" w:rsidR="00670D29" w:rsidRPr="00363A88" w:rsidRDefault="00670D29" w:rsidP="00343355">
            <w:pPr>
              <w:rPr>
                <w:rFonts w:cstheme="minorHAnsi"/>
              </w:rPr>
            </w:pPr>
            <w:r w:rsidRPr="00363A88">
              <w:rPr>
                <w:rFonts w:cstheme="minorHAnsi"/>
              </w:rPr>
              <w:t>Justin Slaughter</w:t>
            </w:r>
          </w:p>
        </w:tc>
      </w:tr>
      <w:tr w:rsidR="00670D29" w:rsidRPr="00363A88" w14:paraId="7F5661DD" w14:textId="77777777" w:rsidTr="00343355">
        <w:tc>
          <w:tcPr>
            <w:tcW w:w="4675" w:type="dxa"/>
          </w:tcPr>
          <w:p w14:paraId="1C02D6DB" w14:textId="77777777" w:rsidR="00670D29" w:rsidRPr="00363A88" w:rsidRDefault="00670D29" w:rsidP="00343355">
            <w:pPr>
              <w:rPr>
                <w:rFonts w:cstheme="minorHAnsi"/>
              </w:rPr>
            </w:pPr>
            <w:r w:rsidRPr="00363A88">
              <w:rPr>
                <w:rFonts w:cstheme="minorHAnsi"/>
              </w:rPr>
              <w:t>Labor and Commerce</w:t>
            </w:r>
          </w:p>
        </w:tc>
        <w:tc>
          <w:tcPr>
            <w:tcW w:w="4675" w:type="dxa"/>
          </w:tcPr>
          <w:p w14:paraId="33F9559E" w14:textId="77777777" w:rsidR="00670D29" w:rsidRPr="00363A88" w:rsidRDefault="00670D29" w:rsidP="00343355">
            <w:pPr>
              <w:rPr>
                <w:rFonts w:cstheme="minorHAnsi"/>
              </w:rPr>
            </w:pPr>
            <w:r w:rsidRPr="00363A88">
              <w:rPr>
                <w:rFonts w:cstheme="minorHAnsi"/>
              </w:rPr>
              <w:t>Marcus Evans, Jr.</w:t>
            </w:r>
          </w:p>
        </w:tc>
      </w:tr>
      <w:tr w:rsidR="00670D29" w:rsidRPr="00363A88" w14:paraId="02402B6E" w14:textId="77777777" w:rsidTr="00343355">
        <w:tc>
          <w:tcPr>
            <w:tcW w:w="4675" w:type="dxa"/>
          </w:tcPr>
          <w:p w14:paraId="2FF568D3" w14:textId="77777777" w:rsidR="00670D29" w:rsidRPr="00363A88" w:rsidRDefault="00670D29" w:rsidP="00343355">
            <w:pPr>
              <w:rPr>
                <w:rFonts w:cstheme="minorHAnsi"/>
              </w:rPr>
            </w:pPr>
            <w:r w:rsidRPr="00363A88">
              <w:rPr>
                <w:rFonts w:cstheme="minorHAnsi"/>
              </w:rPr>
              <w:t>Mental Health</w:t>
            </w:r>
          </w:p>
        </w:tc>
        <w:tc>
          <w:tcPr>
            <w:tcW w:w="4675" w:type="dxa"/>
          </w:tcPr>
          <w:p w14:paraId="74C34522" w14:textId="77777777" w:rsidR="00670D29" w:rsidRPr="00363A88" w:rsidRDefault="00670D29" w:rsidP="00343355">
            <w:pPr>
              <w:rPr>
                <w:rFonts w:cstheme="minorHAnsi"/>
              </w:rPr>
            </w:pPr>
            <w:r w:rsidRPr="00363A88">
              <w:rPr>
                <w:rFonts w:cstheme="minorHAnsi"/>
              </w:rPr>
              <w:t>Lindsey LaPointe</w:t>
            </w:r>
          </w:p>
        </w:tc>
      </w:tr>
      <w:tr w:rsidR="00670D29" w:rsidRPr="00363A88" w14:paraId="3C62E785" w14:textId="77777777" w:rsidTr="00343355">
        <w:tc>
          <w:tcPr>
            <w:tcW w:w="4675" w:type="dxa"/>
          </w:tcPr>
          <w:p w14:paraId="72CEDB06" w14:textId="77777777" w:rsidR="00670D29" w:rsidRPr="00363A88" w:rsidRDefault="00670D29" w:rsidP="00343355">
            <w:pPr>
              <w:rPr>
                <w:rFonts w:cstheme="minorHAnsi"/>
              </w:rPr>
            </w:pPr>
            <w:r w:rsidRPr="00363A88">
              <w:rPr>
                <w:rFonts w:cstheme="minorHAnsi"/>
              </w:rPr>
              <w:t>Personnel and Pensions</w:t>
            </w:r>
          </w:p>
        </w:tc>
        <w:tc>
          <w:tcPr>
            <w:tcW w:w="4675" w:type="dxa"/>
          </w:tcPr>
          <w:p w14:paraId="04B55AA4" w14:textId="77777777" w:rsidR="00670D29" w:rsidRPr="00363A88" w:rsidRDefault="00670D29" w:rsidP="00343355">
            <w:pPr>
              <w:rPr>
                <w:rFonts w:cstheme="minorHAnsi"/>
              </w:rPr>
            </w:pPr>
            <w:r w:rsidRPr="00363A88">
              <w:rPr>
                <w:rFonts w:cstheme="minorHAnsi"/>
              </w:rPr>
              <w:t>Stephanie Kifowit</w:t>
            </w:r>
          </w:p>
        </w:tc>
      </w:tr>
      <w:tr w:rsidR="00670D29" w:rsidRPr="00363A88" w14:paraId="4177B96D" w14:textId="77777777" w:rsidTr="00343355">
        <w:tc>
          <w:tcPr>
            <w:tcW w:w="4675" w:type="dxa"/>
          </w:tcPr>
          <w:p w14:paraId="3958BE05" w14:textId="77777777" w:rsidR="00670D29" w:rsidRPr="00363A88" w:rsidRDefault="00670D29" w:rsidP="00343355">
            <w:pPr>
              <w:rPr>
                <w:rFonts w:cstheme="minorHAnsi"/>
              </w:rPr>
            </w:pPr>
            <w:r w:rsidRPr="00363A88">
              <w:rPr>
                <w:rFonts w:cstheme="minorHAnsi"/>
              </w:rPr>
              <w:t>Police and Fire</w:t>
            </w:r>
          </w:p>
        </w:tc>
        <w:tc>
          <w:tcPr>
            <w:tcW w:w="4675" w:type="dxa"/>
          </w:tcPr>
          <w:p w14:paraId="1C7EA474" w14:textId="77777777" w:rsidR="00670D29" w:rsidRPr="00363A88" w:rsidRDefault="00670D29" w:rsidP="00343355">
            <w:pPr>
              <w:rPr>
                <w:rFonts w:cstheme="minorHAnsi"/>
              </w:rPr>
            </w:pPr>
            <w:r w:rsidRPr="00363A88">
              <w:rPr>
                <w:rFonts w:cstheme="minorHAnsi"/>
              </w:rPr>
              <w:t>Frances Ann Hurley</w:t>
            </w:r>
          </w:p>
        </w:tc>
      </w:tr>
      <w:tr w:rsidR="00670D29" w:rsidRPr="00363A88" w14:paraId="07271679" w14:textId="77777777" w:rsidTr="00343355">
        <w:tc>
          <w:tcPr>
            <w:tcW w:w="4675" w:type="dxa"/>
          </w:tcPr>
          <w:p w14:paraId="291168C9" w14:textId="77777777" w:rsidR="00670D29" w:rsidRPr="00363A88" w:rsidRDefault="00670D29" w:rsidP="00343355">
            <w:pPr>
              <w:rPr>
                <w:rFonts w:cstheme="minorHAnsi"/>
              </w:rPr>
            </w:pPr>
            <w:r w:rsidRPr="00363A88">
              <w:rPr>
                <w:rFonts w:cstheme="minorHAnsi"/>
              </w:rPr>
              <w:t xml:space="preserve">Prescription </w:t>
            </w:r>
            <w:r w:rsidRPr="00363A88">
              <w:t>Drug</w:t>
            </w:r>
            <w:r w:rsidRPr="00363A88">
              <w:rPr>
                <w:rFonts w:cstheme="minorHAnsi"/>
              </w:rPr>
              <w:t xml:space="preserve"> Affordability</w:t>
            </w:r>
          </w:p>
        </w:tc>
        <w:tc>
          <w:tcPr>
            <w:tcW w:w="4675" w:type="dxa"/>
          </w:tcPr>
          <w:p w14:paraId="1BEDA6DC" w14:textId="77777777" w:rsidR="00670D29" w:rsidRPr="00363A88" w:rsidRDefault="00670D29" w:rsidP="00343355">
            <w:pPr>
              <w:rPr>
                <w:rFonts w:cstheme="minorHAnsi"/>
              </w:rPr>
            </w:pPr>
            <w:proofErr w:type="spellStart"/>
            <w:r w:rsidRPr="00363A88">
              <w:rPr>
                <w:rFonts w:cstheme="minorHAnsi"/>
              </w:rPr>
              <w:t>Jawaharial</w:t>
            </w:r>
            <w:proofErr w:type="spellEnd"/>
            <w:r w:rsidRPr="00363A88">
              <w:rPr>
                <w:rFonts w:cstheme="minorHAnsi"/>
              </w:rPr>
              <w:t xml:space="preserve"> Williams</w:t>
            </w:r>
          </w:p>
        </w:tc>
      </w:tr>
      <w:tr w:rsidR="00670D29" w:rsidRPr="00363A88" w14:paraId="43835944" w14:textId="77777777" w:rsidTr="00343355">
        <w:tc>
          <w:tcPr>
            <w:tcW w:w="4675" w:type="dxa"/>
          </w:tcPr>
          <w:p w14:paraId="0195DD8D" w14:textId="77777777" w:rsidR="00670D29" w:rsidRPr="00363A88" w:rsidRDefault="00670D29" w:rsidP="00343355">
            <w:pPr>
              <w:rPr>
                <w:rFonts w:cstheme="minorHAnsi"/>
              </w:rPr>
            </w:pPr>
            <w:r w:rsidRPr="00363A88">
              <w:rPr>
                <w:rFonts w:cstheme="minorHAnsi"/>
              </w:rPr>
              <w:t>Public Health</w:t>
            </w:r>
          </w:p>
        </w:tc>
        <w:tc>
          <w:tcPr>
            <w:tcW w:w="4675" w:type="dxa"/>
          </w:tcPr>
          <w:p w14:paraId="6D612989" w14:textId="77777777" w:rsidR="00670D29" w:rsidRPr="00363A88" w:rsidRDefault="00670D29" w:rsidP="00343355">
            <w:pPr>
              <w:rPr>
                <w:rFonts w:cstheme="minorHAnsi"/>
              </w:rPr>
            </w:pPr>
            <w:r w:rsidRPr="00363A88">
              <w:rPr>
                <w:rFonts w:cstheme="minorHAnsi"/>
              </w:rPr>
              <w:t>Anne Stava-Murray</w:t>
            </w:r>
          </w:p>
        </w:tc>
      </w:tr>
      <w:tr w:rsidR="00670D29" w:rsidRPr="00363A88" w14:paraId="4511324C" w14:textId="77777777" w:rsidTr="00343355">
        <w:tc>
          <w:tcPr>
            <w:tcW w:w="4675" w:type="dxa"/>
          </w:tcPr>
          <w:p w14:paraId="21046BAF" w14:textId="77777777" w:rsidR="00670D29" w:rsidRPr="00363A88" w:rsidRDefault="00670D29" w:rsidP="00343355">
            <w:pPr>
              <w:rPr>
                <w:rFonts w:cstheme="minorHAnsi"/>
              </w:rPr>
            </w:pPr>
            <w:r w:rsidRPr="00363A88">
              <w:rPr>
                <w:rFonts w:cstheme="minorHAnsi"/>
              </w:rPr>
              <w:t>Public Utilities</w:t>
            </w:r>
          </w:p>
        </w:tc>
        <w:tc>
          <w:tcPr>
            <w:tcW w:w="4675" w:type="dxa"/>
          </w:tcPr>
          <w:p w14:paraId="41A3D438" w14:textId="77777777" w:rsidR="00670D29" w:rsidRPr="00363A88" w:rsidRDefault="00670D29" w:rsidP="00343355">
            <w:pPr>
              <w:rPr>
                <w:rFonts w:cstheme="minorHAnsi"/>
              </w:rPr>
            </w:pPr>
            <w:r w:rsidRPr="00363A88">
              <w:rPr>
                <w:rFonts w:cstheme="minorHAnsi"/>
              </w:rPr>
              <w:t>Lawrence Walsh, Jr.</w:t>
            </w:r>
          </w:p>
        </w:tc>
      </w:tr>
      <w:tr w:rsidR="00670D29" w:rsidRPr="00363A88" w14:paraId="30C2D388" w14:textId="77777777" w:rsidTr="00343355">
        <w:tc>
          <w:tcPr>
            <w:tcW w:w="4675" w:type="dxa"/>
          </w:tcPr>
          <w:p w14:paraId="3FC3722A" w14:textId="77777777" w:rsidR="00670D29" w:rsidRPr="00363A88" w:rsidRDefault="00670D29" w:rsidP="00343355">
            <w:pPr>
              <w:rPr>
                <w:rFonts w:cstheme="minorHAnsi"/>
              </w:rPr>
            </w:pPr>
            <w:r w:rsidRPr="00363A88">
              <w:rPr>
                <w:rFonts w:cstheme="minorHAnsi"/>
              </w:rPr>
              <w:t>Restorative Justice</w:t>
            </w:r>
          </w:p>
        </w:tc>
        <w:tc>
          <w:tcPr>
            <w:tcW w:w="4675" w:type="dxa"/>
          </w:tcPr>
          <w:p w14:paraId="47FF85F5" w14:textId="77777777" w:rsidR="00670D29" w:rsidRPr="00363A88" w:rsidRDefault="00670D29" w:rsidP="00343355">
            <w:pPr>
              <w:rPr>
                <w:rFonts w:cstheme="minorHAnsi"/>
              </w:rPr>
            </w:pPr>
            <w:r w:rsidRPr="00363A88">
              <w:rPr>
                <w:rFonts w:cstheme="minorHAnsi"/>
              </w:rPr>
              <w:t>Kelly Cassidy</w:t>
            </w:r>
          </w:p>
        </w:tc>
      </w:tr>
      <w:tr w:rsidR="00670D29" w:rsidRPr="00363A88" w14:paraId="59848E17" w14:textId="77777777" w:rsidTr="00343355">
        <w:tc>
          <w:tcPr>
            <w:tcW w:w="4675" w:type="dxa"/>
          </w:tcPr>
          <w:p w14:paraId="3D39E5D8" w14:textId="77777777" w:rsidR="00670D29" w:rsidRPr="00363A88" w:rsidRDefault="00670D29" w:rsidP="00343355">
            <w:pPr>
              <w:rPr>
                <w:rFonts w:cstheme="minorHAnsi"/>
              </w:rPr>
            </w:pPr>
            <w:r w:rsidRPr="00363A88">
              <w:rPr>
                <w:rFonts w:cstheme="minorHAnsi"/>
              </w:rPr>
              <w:t>Revenue and Finance</w:t>
            </w:r>
          </w:p>
        </w:tc>
        <w:tc>
          <w:tcPr>
            <w:tcW w:w="4675" w:type="dxa"/>
          </w:tcPr>
          <w:p w14:paraId="71335659" w14:textId="77777777" w:rsidR="00670D29" w:rsidRPr="00363A88" w:rsidRDefault="00670D29" w:rsidP="00343355">
            <w:pPr>
              <w:rPr>
                <w:rFonts w:cstheme="minorHAnsi"/>
              </w:rPr>
            </w:pPr>
            <w:r w:rsidRPr="00363A88">
              <w:rPr>
                <w:rFonts w:cstheme="minorHAnsi"/>
              </w:rPr>
              <w:t>Kelly Burke</w:t>
            </w:r>
          </w:p>
        </w:tc>
      </w:tr>
      <w:tr w:rsidR="00670D29" w:rsidRPr="00363A88" w14:paraId="555DA2BA" w14:textId="77777777" w:rsidTr="00343355">
        <w:tc>
          <w:tcPr>
            <w:tcW w:w="4675" w:type="dxa"/>
          </w:tcPr>
          <w:p w14:paraId="4D4BE8A3" w14:textId="77777777" w:rsidR="00670D29" w:rsidRPr="00363A88" w:rsidRDefault="00670D29" w:rsidP="00343355">
            <w:pPr>
              <w:rPr>
                <w:rFonts w:cstheme="minorHAnsi"/>
              </w:rPr>
            </w:pPr>
            <w:r w:rsidRPr="00363A88">
              <w:rPr>
                <w:rFonts w:cstheme="minorHAnsi"/>
              </w:rPr>
              <w:t>Small Business, Tech Innovation and Entrepreneurship</w:t>
            </w:r>
          </w:p>
        </w:tc>
        <w:tc>
          <w:tcPr>
            <w:tcW w:w="4675" w:type="dxa"/>
          </w:tcPr>
          <w:p w14:paraId="74289EB6" w14:textId="77777777" w:rsidR="00670D29" w:rsidRPr="00363A88" w:rsidRDefault="00670D29" w:rsidP="00343355">
            <w:pPr>
              <w:rPr>
                <w:rFonts w:cstheme="minorHAnsi"/>
              </w:rPr>
            </w:pPr>
            <w:r w:rsidRPr="00363A88">
              <w:rPr>
                <w:rFonts w:cstheme="minorHAnsi"/>
              </w:rPr>
              <w:t>Carol Ammons</w:t>
            </w:r>
          </w:p>
        </w:tc>
      </w:tr>
      <w:tr w:rsidR="00670D29" w:rsidRPr="00363A88" w14:paraId="5755F923" w14:textId="77777777" w:rsidTr="00343355">
        <w:tc>
          <w:tcPr>
            <w:tcW w:w="4675" w:type="dxa"/>
          </w:tcPr>
          <w:p w14:paraId="0438A818" w14:textId="77777777" w:rsidR="00670D29" w:rsidRPr="00363A88" w:rsidRDefault="00670D29" w:rsidP="00343355">
            <w:pPr>
              <w:rPr>
                <w:rFonts w:cstheme="minorHAnsi"/>
              </w:rPr>
            </w:pPr>
            <w:r w:rsidRPr="00363A88">
              <w:rPr>
                <w:rFonts w:cstheme="minorHAnsi"/>
              </w:rPr>
              <w:t>State Government Administration</w:t>
            </w:r>
          </w:p>
        </w:tc>
        <w:tc>
          <w:tcPr>
            <w:tcW w:w="4675" w:type="dxa"/>
          </w:tcPr>
          <w:p w14:paraId="0C955120" w14:textId="77777777" w:rsidR="00670D29" w:rsidRPr="00363A88" w:rsidRDefault="00670D29" w:rsidP="00343355">
            <w:pPr>
              <w:rPr>
                <w:rFonts w:cstheme="minorHAnsi"/>
              </w:rPr>
            </w:pPr>
            <w:r w:rsidRPr="00363A88">
              <w:rPr>
                <w:rFonts w:cstheme="minorHAnsi"/>
              </w:rPr>
              <w:t>Mark Walker</w:t>
            </w:r>
          </w:p>
        </w:tc>
      </w:tr>
      <w:tr w:rsidR="00670D29" w:rsidRPr="00363A88" w14:paraId="3A9BAB64" w14:textId="77777777" w:rsidTr="00343355">
        <w:tc>
          <w:tcPr>
            <w:tcW w:w="4675" w:type="dxa"/>
          </w:tcPr>
          <w:p w14:paraId="18439C9E" w14:textId="77777777" w:rsidR="00670D29" w:rsidRPr="00363A88" w:rsidRDefault="00670D29" w:rsidP="00343355">
            <w:pPr>
              <w:rPr>
                <w:rFonts w:cstheme="minorHAnsi"/>
              </w:rPr>
            </w:pPr>
            <w:r w:rsidRPr="00363A88">
              <w:rPr>
                <w:rFonts w:cstheme="minorHAnsi"/>
              </w:rPr>
              <w:t xml:space="preserve">Transportation:  Rail Systems, </w:t>
            </w:r>
            <w:proofErr w:type="gramStart"/>
            <w:r w:rsidRPr="00363A88">
              <w:rPr>
                <w:rFonts w:cstheme="minorHAnsi"/>
              </w:rPr>
              <w:t>Roads</w:t>
            </w:r>
            <w:proofErr w:type="gramEnd"/>
            <w:r w:rsidRPr="00363A88">
              <w:rPr>
                <w:rFonts w:cstheme="minorHAnsi"/>
              </w:rPr>
              <w:t xml:space="preserve"> and Bridges</w:t>
            </w:r>
          </w:p>
        </w:tc>
        <w:tc>
          <w:tcPr>
            <w:tcW w:w="4675" w:type="dxa"/>
          </w:tcPr>
          <w:p w14:paraId="74DC1843" w14:textId="77777777" w:rsidR="00670D29" w:rsidRPr="00363A88" w:rsidRDefault="00670D29" w:rsidP="00343355">
            <w:r w:rsidRPr="00363A88">
              <w:t>Martin Moylan</w:t>
            </w:r>
          </w:p>
        </w:tc>
      </w:tr>
      <w:tr w:rsidR="00670D29" w:rsidRPr="00363A88" w14:paraId="6935A571" w14:textId="77777777" w:rsidTr="00343355">
        <w:tc>
          <w:tcPr>
            <w:tcW w:w="4675" w:type="dxa"/>
          </w:tcPr>
          <w:p w14:paraId="010AE849" w14:textId="77777777" w:rsidR="00670D29" w:rsidRPr="00363A88" w:rsidRDefault="00670D29" w:rsidP="00343355">
            <w:pPr>
              <w:rPr>
                <w:rFonts w:cstheme="minorHAnsi"/>
              </w:rPr>
            </w:pPr>
            <w:r w:rsidRPr="00363A88">
              <w:rPr>
                <w:rFonts w:cstheme="minorHAnsi"/>
              </w:rPr>
              <w:t>Transportation:  Vehicle Safety</w:t>
            </w:r>
          </w:p>
        </w:tc>
        <w:tc>
          <w:tcPr>
            <w:tcW w:w="4675" w:type="dxa"/>
          </w:tcPr>
          <w:p w14:paraId="1A7DDA8A" w14:textId="77777777" w:rsidR="00670D29" w:rsidRPr="00363A88" w:rsidRDefault="00670D29" w:rsidP="00343355">
            <w:pPr>
              <w:rPr>
                <w:rFonts w:cstheme="minorHAnsi"/>
              </w:rPr>
            </w:pPr>
            <w:r w:rsidRPr="00363A88">
              <w:rPr>
                <w:rFonts w:cstheme="minorHAnsi"/>
              </w:rPr>
              <w:t>Jaime Andrade</w:t>
            </w:r>
          </w:p>
        </w:tc>
      </w:tr>
      <w:tr w:rsidR="00670D29" w:rsidRPr="00363A88" w14:paraId="69489C2F" w14:textId="77777777" w:rsidTr="00343355">
        <w:tc>
          <w:tcPr>
            <w:tcW w:w="4675" w:type="dxa"/>
          </w:tcPr>
          <w:p w14:paraId="4A18C611" w14:textId="77777777" w:rsidR="00670D29" w:rsidRPr="00363A88" w:rsidRDefault="00670D29" w:rsidP="00343355">
            <w:pPr>
              <w:rPr>
                <w:rFonts w:cstheme="minorHAnsi"/>
              </w:rPr>
            </w:pPr>
            <w:r w:rsidRPr="00363A88">
              <w:rPr>
                <w:rFonts w:cstheme="minorHAnsi"/>
              </w:rPr>
              <w:t>Veterans’ Affairs</w:t>
            </w:r>
          </w:p>
        </w:tc>
        <w:tc>
          <w:tcPr>
            <w:tcW w:w="4675" w:type="dxa"/>
          </w:tcPr>
          <w:p w14:paraId="33734C73" w14:textId="77777777" w:rsidR="00670D29" w:rsidRPr="00363A88" w:rsidRDefault="00670D29" w:rsidP="00343355">
            <w:pPr>
              <w:rPr>
                <w:rFonts w:cstheme="minorHAnsi"/>
              </w:rPr>
            </w:pPr>
            <w:r w:rsidRPr="00363A88">
              <w:rPr>
                <w:rFonts w:cstheme="minorHAnsi"/>
              </w:rPr>
              <w:t xml:space="preserve">Lance </w:t>
            </w:r>
            <w:proofErr w:type="spellStart"/>
            <w:r w:rsidRPr="00363A88">
              <w:rPr>
                <w:rFonts w:cstheme="minorHAnsi"/>
              </w:rPr>
              <w:t>Yednock</w:t>
            </w:r>
            <w:proofErr w:type="spellEnd"/>
          </w:p>
        </w:tc>
      </w:tr>
      <w:bookmarkEnd w:id="0"/>
    </w:tbl>
    <w:p w14:paraId="219CB10F" w14:textId="77777777" w:rsidR="00670D29" w:rsidRPr="00363A88" w:rsidRDefault="00670D29" w:rsidP="00670D29">
      <w:pPr>
        <w:rPr>
          <w:rFonts w:cstheme="minorHAnsi"/>
        </w:rPr>
      </w:pPr>
    </w:p>
    <w:p w14:paraId="13415B34" w14:textId="77777777" w:rsidR="00670D29" w:rsidRPr="00363A88" w:rsidRDefault="00670D29" w:rsidP="00670D29">
      <w:bookmarkStart w:id="1" w:name="_Hlk124861663"/>
      <w:r w:rsidRPr="00363A88">
        <w:t xml:space="preserve">Three new committees were created: Gaming, Public Health and Small Business, Tech Innovation and Entrepreneurship.  The following committees were renamed: Appropriations – Health and Human Services, Financial Institutions and Licensing, Mental Health, and Transportation: Rail Systems, </w:t>
      </w:r>
      <w:proofErr w:type="gramStart"/>
      <w:r w:rsidRPr="00363A88">
        <w:t>Roads</w:t>
      </w:r>
      <w:proofErr w:type="gramEnd"/>
      <w:r w:rsidRPr="00363A88">
        <w:t xml:space="preserve"> and Bridges.  The Tourism Committee was eliminated.</w:t>
      </w:r>
    </w:p>
    <w:p w14:paraId="4D5489B2" w14:textId="77777777" w:rsidR="00670D29" w:rsidRPr="00363A88" w:rsidRDefault="00670D29" w:rsidP="00670D29">
      <w:pPr>
        <w:rPr>
          <w:rFonts w:cstheme="minorHAnsi"/>
        </w:rPr>
      </w:pPr>
      <w:r w:rsidRPr="00363A88">
        <w:rPr>
          <w:rFonts w:cstheme="minorHAnsi"/>
        </w:rPr>
        <w:t xml:space="preserve">Senator Martwick is expected to file a constitutional amendment to impose a graduated income tax.  Unlike the previous version which voters rejected two years ago, this time Senator Martwick believes the proposal should </w:t>
      </w:r>
      <w:r w:rsidRPr="00363A88">
        <w:t>provide property tax relief and address the state’s pension problem.</w:t>
      </w:r>
    </w:p>
    <w:p w14:paraId="3F334728" w14:textId="77777777" w:rsidR="00670D29" w:rsidRPr="00363A88" w:rsidRDefault="00670D29" w:rsidP="00670D29">
      <w:pPr>
        <w:pStyle w:val="NoSpacing"/>
        <w:rPr>
          <w:b/>
          <w:bCs/>
          <w:u w:val="single"/>
        </w:rPr>
      </w:pPr>
      <w:bookmarkStart w:id="2" w:name="_Hlk124861495"/>
      <w:bookmarkEnd w:id="1"/>
      <w:r w:rsidRPr="00363A88">
        <w:rPr>
          <w:b/>
          <w:bCs/>
          <w:u w:val="single"/>
        </w:rPr>
        <w:t>2023 Key Dates: </w:t>
      </w:r>
    </w:p>
    <w:p w14:paraId="2D3DAD0A" w14:textId="77777777" w:rsidR="00670D29" w:rsidRPr="00363A88" w:rsidRDefault="00670D29" w:rsidP="00670D29">
      <w:pPr>
        <w:pStyle w:val="NoSpacing"/>
      </w:pPr>
      <w:r w:rsidRPr="00363A88">
        <w:t xml:space="preserve">January 27:         Deadline </w:t>
      </w:r>
      <w:r w:rsidRPr="00363A88">
        <w:rPr>
          <w:rFonts w:ascii="Calibri" w:eastAsia="Calibri" w:hAnsi="Calibri" w:cs="Calibri"/>
        </w:rPr>
        <w:t>–</w:t>
      </w:r>
      <w:r w:rsidRPr="00363A88">
        <w:t xml:space="preserve"> Senate LRB Requests </w:t>
      </w:r>
    </w:p>
    <w:p w14:paraId="32241480" w14:textId="77777777" w:rsidR="00670D29" w:rsidRPr="00363A88" w:rsidRDefault="00670D29" w:rsidP="00670D29">
      <w:pPr>
        <w:pStyle w:val="NoSpacing"/>
      </w:pPr>
      <w:r w:rsidRPr="00363A88">
        <w:t>February 3:         Deadline – House LRB Requests </w:t>
      </w:r>
    </w:p>
    <w:p w14:paraId="2D33515C" w14:textId="77777777" w:rsidR="00670D29" w:rsidRPr="00363A88" w:rsidRDefault="00670D29" w:rsidP="00670D29">
      <w:pPr>
        <w:pStyle w:val="NoSpacing"/>
      </w:pPr>
      <w:r w:rsidRPr="00363A88">
        <w:t xml:space="preserve">February 10:      Deadline </w:t>
      </w:r>
      <w:r w:rsidRPr="00363A88">
        <w:rPr>
          <w:rFonts w:ascii="Calibri" w:eastAsia="Calibri" w:hAnsi="Calibri" w:cs="Calibri"/>
        </w:rPr>
        <w:t>–</w:t>
      </w:r>
      <w:r w:rsidRPr="00363A88">
        <w:t xml:space="preserve"> Introduction of Substantive Senate Bills in the Senate </w:t>
      </w:r>
    </w:p>
    <w:p w14:paraId="24C50E9D" w14:textId="77777777" w:rsidR="00670D29" w:rsidRPr="00363A88" w:rsidRDefault="00670D29" w:rsidP="00670D29">
      <w:pPr>
        <w:pStyle w:val="NoSpacing"/>
      </w:pPr>
      <w:r w:rsidRPr="00363A88">
        <w:t>February 17:      Deadline – Introduction of Substantive House Bills in the House </w:t>
      </w:r>
    </w:p>
    <w:p w14:paraId="36CE6EDC" w14:textId="77777777" w:rsidR="00670D29" w:rsidRPr="00363A88" w:rsidRDefault="00670D29" w:rsidP="00670D29">
      <w:pPr>
        <w:pStyle w:val="NoSpacing"/>
      </w:pPr>
      <w:r w:rsidRPr="00363A88">
        <w:t>February 15:      Governor’s State of the State/Budget Address </w:t>
      </w:r>
    </w:p>
    <w:p w14:paraId="287FAEE3" w14:textId="77777777" w:rsidR="00670D29" w:rsidRPr="00363A88" w:rsidRDefault="00670D29" w:rsidP="00670D29">
      <w:pPr>
        <w:pStyle w:val="NoSpacing"/>
      </w:pPr>
      <w:r w:rsidRPr="00363A88">
        <w:t>February 28:      Consolidated Primary Election </w:t>
      </w:r>
    </w:p>
    <w:p w14:paraId="45650073" w14:textId="77777777" w:rsidR="00670D29" w:rsidRPr="00363A88" w:rsidRDefault="00670D29" w:rsidP="00670D29">
      <w:pPr>
        <w:pStyle w:val="NoSpacing"/>
      </w:pPr>
      <w:r w:rsidRPr="00363A88">
        <w:t xml:space="preserve">March 10:          Deadline </w:t>
      </w:r>
      <w:r w:rsidRPr="00363A88">
        <w:rPr>
          <w:rFonts w:ascii="Calibri" w:eastAsia="Calibri" w:hAnsi="Calibri" w:cs="Calibri"/>
        </w:rPr>
        <w:t xml:space="preserve">– </w:t>
      </w:r>
      <w:r w:rsidRPr="00363A88">
        <w:t>Substantive Bills Out of Committee in both chambers </w:t>
      </w:r>
    </w:p>
    <w:p w14:paraId="4ECF0847" w14:textId="77777777" w:rsidR="00670D29" w:rsidRPr="00363A88" w:rsidRDefault="00670D29" w:rsidP="00670D29">
      <w:pPr>
        <w:pStyle w:val="NoSpacing"/>
      </w:pPr>
      <w:r w:rsidRPr="00363A88">
        <w:t xml:space="preserve">March 24:          Deadline </w:t>
      </w:r>
      <w:r w:rsidRPr="00363A88">
        <w:rPr>
          <w:rFonts w:ascii="Calibri" w:eastAsia="Calibri" w:hAnsi="Calibri" w:cs="Calibri"/>
        </w:rPr>
        <w:t xml:space="preserve">– </w:t>
      </w:r>
      <w:r w:rsidRPr="00363A88">
        <w:t>Third Reading Deadline – Substantive House Bills in the House </w:t>
      </w:r>
    </w:p>
    <w:p w14:paraId="777D7716" w14:textId="77777777" w:rsidR="00670D29" w:rsidRPr="00363A88" w:rsidRDefault="00670D29" w:rsidP="00670D29">
      <w:pPr>
        <w:pStyle w:val="NoSpacing"/>
      </w:pPr>
      <w:r w:rsidRPr="00363A88">
        <w:t xml:space="preserve">March 31:          Deadline </w:t>
      </w:r>
      <w:r w:rsidRPr="00363A88">
        <w:rPr>
          <w:rFonts w:ascii="Calibri" w:eastAsia="Calibri" w:hAnsi="Calibri" w:cs="Calibri"/>
        </w:rPr>
        <w:t>–</w:t>
      </w:r>
      <w:r w:rsidRPr="00363A88">
        <w:t xml:space="preserve"> Third Reading Deadline </w:t>
      </w:r>
      <w:r w:rsidRPr="00363A88">
        <w:rPr>
          <w:rFonts w:ascii="Calibri" w:eastAsia="Calibri" w:hAnsi="Calibri" w:cs="Calibri"/>
        </w:rPr>
        <w:t xml:space="preserve">– </w:t>
      </w:r>
      <w:r w:rsidRPr="00363A88">
        <w:t>Substantive Senate Bills in the Senate </w:t>
      </w:r>
    </w:p>
    <w:p w14:paraId="234E8B64" w14:textId="77777777" w:rsidR="00670D29" w:rsidRPr="00363A88" w:rsidRDefault="00670D29" w:rsidP="00670D29">
      <w:pPr>
        <w:pStyle w:val="NoSpacing"/>
      </w:pPr>
      <w:r w:rsidRPr="00363A88">
        <w:t>April 4:               Consolidated Election </w:t>
      </w:r>
    </w:p>
    <w:p w14:paraId="174653AC" w14:textId="77777777" w:rsidR="00670D29" w:rsidRPr="00363A88" w:rsidRDefault="00670D29" w:rsidP="00670D29">
      <w:pPr>
        <w:pStyle w:val="NoSpacing"/>
      </w:pPr>
      <w:r w:rsidRPr="00363A88">
        <w:t xml:space="preserve">April 28:             Deadline </w:t>
      </w:r>
      <w:r w:rsidRPr="00363A88">
        <w:rPr>
          <w:rFonts w:ascii="Calibri" w:eastAsia="Calibri" w:hAnsi="Calibri" w:cs="Calibri"/>
        </w:rPr>
        <w:t xml:space="preserve">– </w:t>
      </w:r>
      <w:r w:rsidRPr="00363A88">
        <w:t>Substantive Bills out of Committee in both chambers </w:t>
      </w:r>
    </w:p>
    <w:p w14:paraId="0004A6E2" w14:textId="77777777" w:rsidR="00670D29" w:rsidRPr="00363A88" w:rsidRDefault="00670D29" w:rsidP="00670D29">
      <w:pPr>
        <w:pStyle w:val="NoSpacing"/>
      </w:pPr>
      <w:r w:rsidRPr="00363A88">
        <w:t xml:space="preserve">May 11:              Deadline </w:t>
      </w:r>
      <w:r w:rsidRPr="00363A88">
        <w:rPr>
          <w:rFonts w:ascii="Calibri" w:eastAsia="Calibri" w:hAnsi="Calibri" w:cs="Calibri"/>
        </w:rPr>
        <w:t xml:space="preserve">– </w:t>
      </w:r>
      <w:r w:rsidRPr="00363A88">
        <w:t>Third Reading Substantive House Bills in Senate </w:t>
      </w:r>
    </w:p>
    <w:p w14:paraId="4D82E4D2" w14:textId="77777777" w:rsidR="00670D29" w:rsidRPr="00363A88" w:rsidRDefault="00670D29" w:rsidP="00670D29">
      <w:pPr>
        <w:pStyle w:val="NoSpacing"/>
      </w:pPr>
      <w:r w:rsidRPr="00363A88">
        <w:t>May 12:              Deadline – Third Reading Substantive Senate Bills in House </w:t>
      </w:r>
    </w:p>
    <w:p w14:paraId="31913963" w14:textId="77777777" w:rsidR="00670D29" w:rsidRPr="00363A88" w:rsidRDefault="00670D29" w:rsidP="00670D29">
      <w:pPr>
        <w:pStyle w:val="NoSpacing"/>
      </w:pPr>
      <w:r w:rsidRPr="00363A88">
        <w:t>May 19:              Adjournment </w:t>
      </w:r>
    </w:p>
    <w:bookmarkEnd w:id="2"/>
    <w:p w14:paraId="2B535E49" w14:textId="77777777" w:rsidR="00670D29" w:rsidRPr="00363A88" w:rsidRDefault="00670D29" w:rsidP="00670D29">
      <w:pPr>
        <w:spacing w:before="100" w:beforeAutospacing="1" w:after="100" w:afterAutospacing="1" w:line="240" w:lineRule="auto"/>
        <w:rPr>
          <w:rFonts w:eastAsia="Times New Roman" w:cstheme="minorHAnsi"/>
          <w:b/>
          <w:bCs/>
          <w:sz w:val="28"/>
          <w:szCs w:val="28"/>
        </w:rPr>
      </w:pPr>
      <w:r w:rsidRPr="00363A88">
        <w:rPr>
          <w:rFonts w:eastAsia="Times New Roman" w:cstheme="minorHAnsi"/>
          <w:b/>
          <w:bCs/>
          <w:sz w:val="28"/>
          <w:szCs w:val="28"/>
        </w:rPr>
        <w:lastRenderedPageBreak/>
        <w:t>GOVERNOR’S HIGHLIGHTS:</w:t>
      </w:r>
    </w:p>
    <w:p w14:paraId="3854EFC3" w14:textId="77777777" w:rsidR="00670D29" w:rsidRPr="00363A88" w:rsidRDefault="00670D29" w:rsidP="00670D29">
      <w:pPr>
        <w:spacing w:before="100" w:beforeAutospacing="1" w:after="100" w:afterAutospacing="1" w:line="240" w:lineRule="auto"/>
        <w:rPr>
          <w:rFonts w:ascii="Times New Roman" w:eastAsia="Times New Roman" w:hAnsi="Times New Roman" w:cs="Times New Roman"/>
          <w:sz w:val="24"/>
          <w:szCs w:val="24"/>
        </w:rPr>
      </w:pPr>
      <w:bookmarkStart w:id="3" w:name="_Hlk124862403"/>
      <w:r w:rsidRPr="00363A88">
        <w:rPr>
          <w:rFonts w:eastAsia="Times New Roman"/>
        </w:rPr>
        <w:t xml:space="preserve">Governor Pritzker traveled to Davos, Switzerland this week to speak at the World Economic Forum Annual Meeting.  </w:t>
      </w:r>
      <w:r w:rsidRPr="00363A88">
        <w:t xml:space="preserve">Governor Pritzker highlighted the Climate and Equitable Jobs Act, the Reimagining Electric Vehicles Act </w:t>
      </w:r>
      <w:r w:rsidRPr="00363A88">
        <w:rPr>
          <w:rFonts w:ascii="Calibri" w:eastAsia="Calibri" w:hAnsi="Calibri" w:cs="Calibri"/>
        </w:rPr>
        <w:t xml:space="preserve">– </w:t>
      </w:r>
      <w:r w:rsidRPr="00363A88">
        <w:t xml:space="preserve">and Illinois’ commitments to clean energy and sustainable power </w:t>
      </w:r>
      <w:r w:rsidRPr="00363A88">
        <w:rPr>
          <w:rFonts w:ascii="Calibri" w:eastAsia="Calibri" w:hAnsi="Calibri" w:cs="Calibri"/>
        </w:rPr>
        <w:t xml:space="preserve">– </w:t>
      </w:r>
      <w:r w:rsidRPr="00363A88">
        <w:t>the Rebuild Illinois Capital plan, and Illinois’ new laws on reproductive health and gun violence prevention.</w:t>
      </w:r>
    </w:p>
    <w:p w14:paraId="2D7ECC21" w14:textId="77777777" w:rsidR="00670D29" w:rsidRDefault="00670D29" w:rsidP="00670D29">
      <w:pPr>
        <w:spacing w:beforeAutospacing="1" w:after="100" w:afterAutospacing="1" w:line="240" w:lineRule="auto"/>
        <w:rPr>
          <w:rFonts w:eastAsia="Times New Roman" w:cstheme="minorHAnsi"/>
        </w:rPr>
      </w:pPr>
      <w:r w:rsidRPr="00363A88">
        <w:rPr>
          <w:rFonts w:eastAsia="Times New Roman" w:cstheme="minorHAnsi"/>
        </w:rPr>
        <w:t>Before returning home next week, the Governor will also visit Germany for business development purposes.</w:t>
      </w:r>
      <w:r>
        <w:rPr>
          <w:rFonts w:eastAsia="Times New Roman" w:cstheme="minorHAnsi"/>
        </w:rPr>
        <w:t xml:space="preserve">  </w:t>
      </w:r>
    </w:p>
    <w:bookmarkEnd w:id="3"/>
    <w:p w14:paraId="7469E1FB" w14:textId="77777777" w:rsidR="00670D29" w:rsidRPr="00363A88" w:rsidRDefault="00670D29" w:rsidP="00670D29">
      <w:r w:rsidRPr="00596422">
        <w:rPr>
          <w:b/>
          <w:bCs/>
        </w:rPr>
        <w:t>New Laws:</w:t>
      </w:r>
      <w:r>
        <w:t xml:space="preserve"> Two bills passed during the lame duck session were signed into law this week.  Governor JB Pritzker signed omnibus reproductive rights and gender affirming </w:t>
      </w:r>
      <w:r w:rsidRPr="00363A88">
        <w:t xml:space="preserve">legislation </w:t>
      </w:r>
      <w:r w:rsidRPr="00363A88">
        <w:rPr>
          <w:rFonts w:ascii="Calibri" w:eastAsia="Calibri" w:hAnsi="Calibri" w:cs="Calibri"/>
        </w:rPr>
        <w:t>–</w:t>
      </w:r>
      <w:r w:rsidRPr="00363A88">
        <w:t xml:space="preserve"> </w:t>
      </w:r>
      <w:bookmarkStart w:id="4" w:name="_Hlk124861785"/>
      <w:r w:rsidRPr="00363A88">
        <w:fldChar w:fldCharType="begin"/>
      </w:r>
      <w:r w:rsidRPr="00363A88">
        <w:instrText>HYPERLINK "https://ilga.gov/legislation/billstatus.asp?DocNum=4664&amp;GAID=16&amp;GA=102&amp;DocTypeID=HB&amp;LegID=138825&amp;SessionID=110"</w:instrText>
      </w:r>
      <w:r w:rsidRPr="00363A88">
        <w:fldChar w:fldCharType="separate"/>
      </w:r>
      <w:r w:rsidRPr="00363A88">
        <w:rPr>
          <w:rStyle w:val="Hyperlink"/>
        </w:rPr>
        <w:t>HB 4664</w:t>
      </w:r>
      <w:r w:rsidRPr="00363A88">
        <w:fldChar w:fldCharType="end"/>
      </w:r>
      <w:r w:rsidRPr="00363A88">
        <w:t xml:space="preserve"> .  </w:t>
      </w:r>
      <w:bookmarkEnd w:id="4"/>
      <w:r w:rsidRPr="00363A88">
        <w:t xml:space="preserve">Read more </w:t>
      </w:r>
      <w:hyperlink r:id="rId5">
        <w:r w:rsidRPr="00363A88">
          <w:rPr>
            <w:rStyle w:val="Hyperlink"/>
          </w:rPr>
          <w:t>here.</w:t>
        </w:r>
      </w:hyperlink>
      <w:r w:rsidRPr="00363A88">
        <w:t xml:space="preserve">   Also signed this week was </w:t>
      </w:r>
      <w:hyperlink r:id="rId6">
        <w:r w:rsidRPr="00363A88">
          <w:rPr>
            <w:rStyle w:val="Hyperlink"/>
          </w:rPr>
          <w:t>HB 240</w:t>
        </w:r>
      </w:hyperlink>
      <w:r w:rsidRPr="00363A88">
        <w:t>, which is an omnibus healthcare package.</w:t>
      </w:r>
    </w:p>
    <w:p w14:paraId="1D0F4BC7" w14:textId="77777777" w:rsidR="00670D29" w:rsidRPr="00363A88" w:rsidRDefault="00670D29" w:rsidP="00670D29">
      <w:r w:rsidRPr="00363A88">
        <w:rPr>
          <w:b/>
          <w:bCs/>
        </w:rPr>
        <w:t>Education Budget Requests:</w:t>
      </w:r>
      <w:r w:rsidRPr="00363A88">
        <w:t xml:space="preserve">  The Illinois State Board of Education and the Board of Higher Education submitted their Fiscal Year 2024 budget requests to the Governor for consideration as the Governor’s Office of Management and Budget finalizes the Governor’s Fiscal Year 2024 budget.  The Illinois State Board of Education is proposing a $350 million increase for the Evidence-Based Funding for K – 12 and a 10% increase for pre-K and early learning.  Advocates argue that more funding is needed to fully fund the Evidence Based Funding Formula fully within 10 years and to fully fund early education. </w:t>
      </w:r>
    </w:p>
    <w:p w14:paraId="6EDAD2DA" w14:textId="552FBD4B" w:rsidR="00670D29" w:rsidRPr="00363A88" w:rsidRDefault="00670D29" w:rsidP="00D42BF6">
      <w:pPr>
        <w:spacing w:before="100" w:beforeAutospacing="1" w:after="100" w:afterAutospacing="1" w:line="240" w:lineRule="auto"/>
      </w:pPr>
      <w:r w:rsidRPr="00363A88">
        <w:t>Meanwhile, the Illinois Board of Higher Education is requesting a 7.5% increase in the total direct funding for the state’s public universities and community colleges. The total proposed budget is around $2.5 billion, an increase of $180 million from the FY 23.  The FY 24 budget request also includes a $50 million increase in MAP funding.</w:t>
      </w:r>
      <w:r w:rsidR="001D1A15">
        <w:t xml:space="preserve">  </w:t>
      </w:r>
      <w:r w:rsidR="00D42BF6">
        <w:t xml:space="preserve">More information is </w:t>
      </w:r>
      <w:hyperlink r:id="rId7" w:history="1">
        <w:r w:rsidR="00D42BF6">
          <w:rPr>
            <w:rStyle w:val="Hyperlink"/>
          </w:rPr>
          <w:t>here</w:t>
        </w:r>
      </w:hyperlink>
      <w:r w:rsidR="00D42BF6">
        <w:t>.</w:t>
      </w:r>
    </w:p>
    <w:p w14:paraId="5BD7F2EC" w14:textId="77777777" w:rsidR="00670D29" w:rsidRPr="00363A88" w:rsidRDefault="00670D29" w:rsidP="00670D29">
      <w:r w:rsidRPr="00363A88">
        <w:t>The Governor will present his proposed FY 24 budget to the Illinois General Assembly on February 15.</w:t>
      </w:r>
    </w:p>
    <w:p w14:paraId="068F4026" w14:textId="77777777" w:rsidR="00670D29" w:rsidRDefault="00670D29" w:rsidP="00670D29">
      <w:pPr>
        <w:rPr>
          <w:rStyle w:val="Hyperlink"/>
        </w:rPr>
      </w:pPr>
      <w:r w:rsidRPr="00363A88">
        <w:rPr>
          <w:b/>
          <w:bCs/>
        </w:rPr>
        <w:t>Nursing Grants:</w:t>
      </w:r>
      <w:r w:rsidRPr="00363A88">
        <w:t xml:space="preserve"> Across the state, the</w:t>
      </w:r>
      <w:bookmarkStart w:id="5" w:name="_Hlk124861898"/>
      <w:r w:rsidRPr="00363A88">
        <w:t xml:space="preserve"> Illinois Board of Higher Education awarded 11 nursing school grants, totaling $750,000, and 40 nurse educator fello</w:t>
      </w:r>
      <w:r>
        <w:t xml:space="preserve">wships, totaling $400,000, </w:t>
      </w:r>
      <w:r w:rsidRPr="00363A88">
        <w:t>for fiscal year 2023. The grants were awarded to institutions of higher educatio</w:t>
      </w:r>
      <w:r>
        <w:t>n</w:t>
      </w:r>
      <w:r w:rsidRPr="00363A88">
        <w:t xml:space="preserve"> to help increase the number of registered professional nurses with high-quality postsecondary credentials to meet the demands</w:t>
      </w:r>
      <w:r>
        <w:t xml:space="preserve"> of the Illinois economy. The fellowships are designed to help retain well-qualified nursing faculty at institutions of higher education that award degrees that lead to a registered nurse licensure. Read more </w:t>
      </w:r>
      <w:hyperlink r:id="rId8">
        <w:r w:rsidRPr="5004646C">
          <w:rPr>
            <w:rStyle w:val="Hyperlink"/>
          </w:rPr>
          <w:t>here.</w:t>
        </w:r>
      </w:hyperlink>
    </w:p>
    <w:bookmarkEnd w:id="5"/>
    <w:p w14:paraId="409CA14F" w14:textId="77777777" w:rsidR="00670D29" w:rsidRPr="00ED5C5E" w:rsidRDefault="00670D29" w:rsidP="00670D29">
      <w:r w:rsidRPr="00F644C8">
        <w:rPr>
          <w:b/>
          <w:bCs/>
        </w:rPr>
        <w:t>Solid Waste Management Plan Grants</w:t>
      </w:r>
      <w:r>
        <w:t xml:space="preserve">: </w:t>
      </w:r>
      <w:r w:rsidRPr="00ED5C5E">
        <w:t xml:space="preserve">A new funding opportunity is available to assist counties and other units of local government in implementing their solid waste planning obligations under the Illinois Solid Waste Planning and Recycling Act (SWPRA). The Notice of Funding Opportunity (NOFO) is </w:t>
      </w:r>
      <w:hyperlink r:id="rId9" w:history="1">
        <w:r w:rsidRPr="00ED5C5E">
          <w:rPr>
            <w:rStyle w:val="Hyperlink"/>
          </w:rPr>
          <w:t>here.</w:t>
        </w:r>
      </w:hyperlink>
      <w:r w:rsidRPr="00ED5C5E">
        <w:t xml:space="preserve"> </w:t>
      </w:r>
    </w:p>
    <w:p w14:paraId="53E533AE" w14:textId="77777777" w:rsidR="00670D29" w:rsidRPr="00ED5C5E" w:rsidRDefault="00670D29" w:rsidP="00670D29">
      <w:r w:rsidRPr="00ED5C5E">
        <w:t xml:space="preserve">Under the SWPRA, counties and units of local government are obligated to revisit their Illinois Solid Waste Management Plans every five years and, if necessary, submit plans with significant updates to the Illinois EPA. Through this funding opportunity, Illinois EPA intends to provide interested </w:t>
      </w:r>
      <w:r w:rsidRPr="00363A88">
        <w:t>counties (and other units of local government required to develop a county solid waste management plan) with financial assistance to help prepare the next plan update.</w:t>
      </w:r>
      <w:r w:rsidRPr="00ED5C5E">
        <w:t xml:space="preserve"> </w:t>
      </w:r>
    </w:p>
    <w:p w14:paraId="1AFC8E34" w14:textId="77777777" w:rsidR="00670D29" w:rsidRPr="00ED5C5E" w:rsidRDefault="00670D29" w:rsidP="00670D29">
      <w:r w:rsidRPr="00ED5C5E">
        <w:t xml:space="preserve">Eligible projects include, but are not limited to, conducting a local solid waste and materials management needs assessment, surveying local solid waste and materials management stakeholders to </w:t>
      </w:r>
      <w:r w:rsidRPr="00ED5C5E">
        <w:lastRenderedPageBreak/>
        <w:t xml:space="preserve">determine programmatic expansion viability, internally authoring solid waste management plan updates, or procuring consulting services to prepare solid waste management plan updates. Each county or unit of local government is eligible for up to $10,000 in funding. All required forms and information are </w:t>
      </w:r>
      <w:hyperlink r:id="rId10" w:history="1">
        <w:r w:rsidRPr="00ED5C5E">
          <w:rPr>
            <w:rStyle w:val="Hyperlink"/>
          </w:rPr>
          <w:t>here.</w:t>
        </w:r>
      </w:hyperlink>
      <w:r w:rsidRPr="00ED5C5E">
        <w:t xml:space="preserve"> </w:t>
      </w:r>
    </w:p>
    <w:p w14:paraId="65E81B42" w14:textId="77777777" w:rsidR="00670D29" w:rsidRDefault="00670D29" w:rsidP="00670D29">
      <w:r w:rsidRPr="00ED5C5E">
        <w:t xml:space="preserve">Applications for the County Solid Waste Planning Grants will be accepted </w:t>
      </w:r>
      <w:r w:rsidRPr="00363A88">
        <w:t>through 5 pm on</w:t>
      </w:r>
      <w:r w:rsidRPr="00ED5C5E">
        <w:t xml:space="preserve"> March 3, 2023.</w:t>
      </w:r>
    </w:p>
    <w:p w14:paraId="146A9FED" w14:textId="77777777" w:rsidR="00670D29" w:rsidRPr="00363A88" w:rsidRDefault="00670D29" w:rsidP="00670D29">
      <w:r w:rsidRPr="005B1F43">
        <w:rPr>
          <w:b/>
          <w:bCs/>
        </w:rPr>
        <w:t>Social Equity Cannabis License Lottery:</w:t>
      </w:r>
      <w:r>
        <w:t xml:space="preserve">  The Illinois Department of Financial and Professional Regulation announced two key updates for the upcoming Social Equity Criteria Lottery for the next round of adult use cannabis dispensary licenses in Illinois. First, the application deadline has been extended through Friday, March 3, 2023. This replaces the original February 14 deadline and will give prospective applicants a total of five weeks </w:t>
      </w:r>
      <w:r w:rsidRPr="00363A88">
        <w:t xml:space="preserve">to submit their applications. The application window will still open for applicants on January 30 through IDFPR’s </w:t>
      </w:r>
      <w:hyperlink r:id="rId11">
        <w:r w:rsidRPr="00363A88">
          <w:rPr>
            <w:rStyle w:val="Hyperlink"/>
          </w:rPr>
          <w:t>online portal</w:t>
        </w:r>
      </w:hyperlink>
      <w:r w:rsidRPr="00363A88">
        <w:t>.</w:t>
      </w:r>
    </w:p>
    <w:p w14:paraId="5985FE9E" w14:textId="77777777" w:rsidR="00670D29" w:rsidRDefault="00670D29" w:rsidP="00670D29">
      <w:r w:rsidRPr="00363A88">
        <w:t xml:space="preserve">With respect to the second key update, IDFPR is providing an </w:t>
      </w:r>
      <w:hyperlink r:id="rId12">
        <w:r w:rsidRPr="00363A88">
          <w:rPr>
            <w:rStyle w:val="Hyperlink"/>
          </w:rPr>
          <w:t>interactive map</w:t>
        </w:r>
      </w:hyperlink>
      <w:r w:rsidRPr="00363A88">
        <w:t xml:space="preserve"> on its website for all prospective applicants. This map allows individuals to check if an individual address is within a census tract that qualifies for one of the required </w:t>
      </w:r>
      <w:hyperlink r:id="rId13">
        <w:r w:rsidRPr="00363A88">
          <w:rPr>
            <w:rStyle w:val="Hyperlink"/>
          </w:rPr>
          <w:t>social equity criteria</w:t>
        </w:r>
      </w:hyperlink>
      <w:r>
        <w:t>. The Department encourages all individuals to utilize this map as they prepare their applications.</w:t>
      </w:r>
    </w:p>
    <w:p w14:paraId="0485E418" w14:textId="77777777" w:rsidR="00670D29" w:rsidRDefault="00670D29" w:rsidP="00670D29">
      <w:r>
        <w:t xml:space="preserve">Additional resources for the Social Equity Criteria Lottery (including a step-by-step breakdown of the lottery and licensing process, a mock application, and a guide for acceptable documents to fulfill the social equity criteria) is located on </w:t>
      </w:r>
      <w:hyperlink r:id="rId14" w:history="1">
        <w:r>
          <w:rPr>
            <w:rStyle w:val="Hyperlink"/>
          </w:rPr>
          <w:t>IDFPR’s Adult Use Cannabis webpage</w:t>
        </w:r>
      </w:hyperlink>
      <w:r>
        <w:t xml:space="preserve"> under the “Information for Social Equity Criteria Lottery” section.</w:t>
      </w:r>
    </w:p>
    <w:p w14:paraId="1F8C2764" w14:textId="77777777" w:rsidR="00670D29" w:rsidRDefault="00670D29" w:rsidP="00670D29">
      <w:pPr>
        <w:rPr>
          <w:rStyle w:val="Hyperlink"/>
        </w:rPr>
      </w:pPr>
      <w:r w:rsidRPr="008D0CE6">
        <w:rPr>
          <w:b/>
          <w:bCs/>
        </w:rPr>
        <w:t>Cannabis Transporter Licenses Awarded:</w:t>
      </w:r>
      <w:r>
        <w:t xml:space="preserve">  The Illinois Department of Agriculture </w:t>
      </w:r>
      <w:r w:rsidRPr="00363A88">
        <w:t>issued 33 transporter licenses, successfully closing the 2022 application pool. These licenses are in addition to the 88 Craft Grow licenses and 54 Infuser licenses already issued to date, bringing to 222 the total number of Illinois licensed transporters. The current list of licensees is available on the department’</w:t>
      </w:r>
      <w:r>
        <w:t xml:space="preserve">s </w:t>
      </w:r>
      <w:hyperlink r:id="rId15">
        <w:r w:rsidRPr="5004646C">
          <w:rPr>
            <w:rStyle w:val="Hyperlink"/>
          </w:rPr>
          <w:t>website.</w:t>
        </w:r>
      </w:hyperlink>
    </w:p>
    <w:p w14:paraId="5ECFE36B" w14:textId="77777777" w:rsidR="00670D29" w:rsidRPr="00F644C8" w:rsidRDefault="00670D29" w:rsidP="00670D29">
      <w:r w:rsidRPr="009C57F6">
        <w:rPr>
          <w:b/>
          <w:bCs/>
        </w:rPr>
        <w:t>Open Doors Homeownership Program</w:t>
      </w:r>
      <w:r>
        <w:t xml:space="preserve">:  The Illinois Housing Development Authority reopened the “Opening Doors” program which is designed to help working-class families and underrepresented communities of color throughout the state of Illinois with $6,000 in forgivable assistance for down payment and/or closing costs.  The latest round will offer $8 million and serve approximately 1,300 homebuyers. </w:t>
      </w:r>
    </w:p>
    <w:p w14:paraId="685473A2" w14:textId="77777777" w:rsidR="00670D29" w:rsidRDefault="00670D29" w:rsidP="00670D29">
      <w:r w:rsidRPr="00596422">
        <w:rPr>
          <w:b/>
          <w:bCs/>
        </w:rPr>
        <w:t>Gubernatorial Appointments:</w:t>
      </w:r>
      <w:r>
        <w:t xml:space="preserve"> The Governor made the following appointments: </w:t>
      </w:r>
    </w:p>
    <w:p w14:paraId="0AE5000C" w14:textId="77777777" w:rsidR="00670D29" w:rsidRPr="0054776A" w:rsidRDefault="00670D29" w:rsidP="00670D29">
      <w:pPr>
        <w:pStyle w:val="ListParagraph"/>
        <w:numPr>
          <w:ilvl w:val="0"/>
          <w:numId w:val="1"/>
        </w:numPr>
        <w:rPr>
          <w:b/>
          <w:bCs/>
        </w:rPr>
      </w:pPr>
      <w:bookmarkStart w:id="6" w:name="_Hlk124862055"/>
      <w:r w:rsidRPr="0054776A">
        <w:rPr>
          <w:rStyle w:val="Strong"/>
          <w:b w:val="0"/>
          <w:bCs w:val="0"/>
        </w:rPr>
        <w:t>Raven DeVaughn will serve as the Director of the Illinois Department of Central Management Services</w:t>
      </w:r>
    </w:p>
    <w:p w14:paraId="0E3F78F2" w14:textId="77777777" w:rsidR="00670D29" w:rsidRPr="0054776A" w:rsidRDefault="00670D29" w:rsidP="00670D29">
      <w:pPr>
        <w:pStyle w:val="ListParagraph"/>
        <w:numPr>
          <w:ilvl w:val="0"/>
          <w:numId w:val="1"/>
        </w:numPr>
        <w:rPr>
          <w:b/>
          <w:bCs/>
        </w:rPr>
      </w:pPr>
      <w:r w:rsidRPr="0054776A">
        <w:rPr>
          <w:rStyle w:val="Strong"/>
          <w:b w:val="0"/>
          <w:bCs w:val="0"/>
        </w:rPr>
        <w:t>Kristin Richards will serve as the Director of the Illinois Department of Commerce and Economic Opportunity.</w:t>
      </w:r>
      <w:r w:rsidRPr="0054776A">
        <w:rPr>
          <w:rStyle w:val="Strong"/>
        </w:rPr>
        <w:t xml:space="preserve"> </w:t>
      </w:r>
      <w:r w:rsidRPr="0054776A">
        <w:t>Most recently, Richards was the Director of the Illinois Department of Employment Security</w:t>
      </w:r>
    </w:p>
    <w:p w14:paraId="340F9250" w14:textId="77777777" w:rsidR="00670D29" w:rsidRPr="0054776A" w:rsidRDefault="00670D29" w:rsidP="00670D29">
      <w:pPr>
        <w:pStyle w:val="ListParagraph"/>
        <w:numPr>
          <w:ilvl w:val="0"/>
          <w:numId w:val="1"/>
        </w:numPr>
        <w:rPr>
          <w:rStyle w:val="Strong"/>
          <w:b w:val="0"/>
          <w:bCs w:val="0"/>
        </w:rPr>
      </w:pPr>
      <w:r w:rsidRPr="0054776A">
        <w:rPr>
          <w:rStyle w:val="Strong"/>
          <w:b w:val="0"/>
          <w:bCs w:val="0"/>
        </w:rPr>
        <w:t xml:space="preserve">Ray </w:t>
      </w:r>
      <w:proofErr w:type="spellStart"/>
      <w:r w:rsidRPr="0054776A">
        <w:rPr>
          <w:rStyle w:val="Strong"/>
          <w:b w:val="0"/>
          <w:bCs w:val="0"/>
        </w:rPr>
        <w:t>Marchiori</w:t>
      </w:r>
      <w:proofErr w:type="spellEnd"/>
      <w:r w:rsidRPr="0054776A">
        <w:rPr>
          <w:rStyle w:val="Strong"/>
          <w:b w:val="0"/>
          <w:bCs w:val="0"/>
        </w:rPr>
        <w:t xml:space="preserve"> will serve as temporary director of the Illinois Department of Employment Security</w:t>
      </w:r>
    </w:p>
    <w:p w14:paraId="546CDBF5" w14:textId="77777777" w:rsidR="00670D29" w:rsidRPr="0054776A" w:rsidRDefault="00670D29" w:rsidP="00670D29">
      <w:pPr>
        <w:pStyle w:val="ListParagraph"/>
        <w:numPr>
          <w:ilvl w:val="0"/>
          <w:numId w:val="1"/>
        </w:numPr>
        <w:rPr>
          <w:b/>
          <w:bCs/>
        </w:rPr>
      </w:pPr>
      <w:r w:rsidRPr="0054776A">
        <w:rPr>
          <w:rStyle w:val="Strong"/>
          <w:b w:val="0"/>
          <w:bCs w:val="0"/>
        </w:rPr>
        <w:t xml:space="preserve">Brandon </w:t>
      </w:r>
      <w:proofErr w:type="spellStart"/>
      <w:r w:rsidRPr="0054776A">
        <w:rPr>
          <w:rStyle w:val="Strong"/>
          <w:b w:val="0"/>
          <w:bCs w:val="0"/>
        </w:rPr>
        <w:t>Ragle</w:t>
      </w:r>
      <w:proofErr w:type="spellEnd"/>
      <w:r w:rsidRPr="0054776A">
        <w:rPr>
          <w:rStyle w:val="Strong"/>
          <w:b w:val="0"/>
          <w:bCs w:val="0"/>
        </w:rPr>
        <w:t xml:space="preserve"> will serve as temporary secretary of the Illinois Department of Innovation and Technology</w:t>
      </w:r>
    </w:p>
    <w:bookmarkEnd w:id="6"/>
    <w:p w14:paraId="6F3F181F" w14:textId="77777777" w:rsidR="00670D29" w:rsidRPr="0054776A" w:rsidRDefault="00670D29" w:rsidP="00670D29">
      <w:pPr>
        <w:pStyle w:val="ListParagraph"/>
        <w:numPr>
          <w:ilvl w:val="0"/>
          <w:numId w:val="1"/>
        </w:numPr>
        <w:rPr>
          <w:rStyle w:val="Strong"/>
          <w:b w:val="0"/>
          <w:bCs w:val="0"/>
        </w:rPr>
      </w:pPr>
      <w:r w:rsidRPr="0054776A">
        <w:rPr>
          <w:rStyle w:val="Strong"/>
          <w:b w:val="0"/>
          <w:bCs w:val="0"/>
        </w:rPr>
        <w:t>Michelle Dawn Carrera will serve as a member on the Illinois State Police Merit Board</w:t>
      </w:r>
    </w:p>
    <w:p w14:paraId="628D6076" w14:textId="77777777" w:rsidR="00670D29" w:rsidRPr="0054776A" w:rsidRDefault="00670D29" w:rsidP="00670D29">
      <w:pPr>
        <w:pStyle w:val="ListParagraph"/>
        <w:numPr>
          <w:ilvl w:val="0"/>
          <w:numId w:val="1"/>
        </w:numPr>
        <w:rPr>
          <w:rStyle w:val="Strong"/>
          <w:b w:val="0"/>
          <w:bCs w:val="0"/>
        </w:rPr>
      </w:pPr>
      <w:r w:rsidRPr="0054776A">
        <w:rPr>
          <w:rStyle w:val="Strong"/>
          <w:b w:val="0"/>
          <w:bCs w:val="0"/>
        </w:rPr>
        <w:lastRenderedPageBreak/>
        <w:t>Dr. Maureen C. Mosley Banks will serve as a member on the Illinois Community College Board</w:t>
      </w:r>
    </w:p>
    <w:p w14:paraId="64BA6ACD" w14:textId="77777777" w:rsidR="00670D29" w:rsidRPr="0054776A" w:rsidRDefault="00670D29" w:rsidP="00670D29">
      <w:pPr>
        <w:pStyle w:val="ListParagraph"/>
        <w:numPr>
          <w:ilvl w:val="0"/>
          <w:numId w:val="1"/>
        </w:numPr>
        <w:rPr>
          <w:rStyle w:val="Strong"/>
          <w:b w:val="0"/>
          <w:bCs w:val="0"/>
        </w:rPr>
      </w:pPr>
      <w:r w:rsidRPr="0054776A">
        <w:rPr>
          <w:rStyle w:val="Strong"/>
          <w:b w:val="0"/>
          <w:bCs w:val="0"/>
        </w:rPr>
        <w:t>Aarti Kotak will serve as a member on the Illinois Sports Facilities Authority</w:t>
      </w:r>
    </w:p>
    <w:p w14:paraId="5EA035CE" w14:textId="77777777" w:rsidR="00670D29" w:rsidRPr="0054776A" w:rsidRDefault="00670D29" w:rsidP="00670D29">
      <w:pPr>
        <w:pStyle w:val="ListParagraph"/>
        <w:numPr>
          <w:ilvl w:val="0"/>
          <w:numId w:val="1"/>
        </w:numPr>
        <w:rPr>
          <w:rStyle w:val="Strong"/>
          <w:b w:val="0"/>
          <w:bCs w:val="0"/>
        </w:rPr>
      </w:pPr>
      <w:r w:rsidRPr="0054776A">
        <w:rPr>
          <w:rStyle w:val="Strong"/>
          <w:b w:val="0"/>
          <w:bCs w:val="0"/>
        </w:rPr>
        <w:t xml:space="preserve">Dr. Anna </w:t>
      </w:r>
      <w:proofErr w:type="spellStart"/>
      <w:r w:rsidRPr="0054776A">
        <w:rPr>
          <w:rStyle w:val="Strong"/>
          <w:b w:val="0"/>
          <w:bCs w:val="0"/>
        </w:rPr>
        <w:t>Grasselino</w:t>
      </w:r>
      <w:proofErr w:type="spellEnd"/>
      <w:r w:rsidRPr="0054776A">
        <w:rPr>
          <w:rStyle w:val="Strong"/>
          <w:b w:val="0"/>
          <w:bCs w:val="0"/>
        </w:rPr>
        <w:t xml:space="preserve"> will serve as a member on the Illinois State Board of Education</w:t>
      </w:r>
    </w:p>
    <w:p w14:paraId="433CF8ED" w14:textId="77777777" w:rsidR="00670D29" w:rsidRPr="0054776A" w:rsidRDefault="00670D29" w:rsidP="00670D29">
      <w:pPr>
        <w:pStyle w:val="ListParagraph"/>
        <w:numPr>
          <w:ilvl w:val="0"/>
          <w:numId w:val="1"/>
        </w:numPr>
        <w:rPr>
          <w:rStyle w:val="Strong"/>
          <w:b w:val="0"/>
          <w:bCs w:val="0"/>
        </w:rPr>
      </w:pPr>
      <w:r w:rsidRPr="0054776A">
        <w:rPr>
          <w:rStyle w:val="Strong"/>
          <w:b w:val="0"/>
          <w:bCs w:val="0"/>
        </w:rPr>
        <w:t xml:space="preserve">Mario </w:t>
      </w:r>
      <w:proofErr w:type="spellStart"/>
      <w:r w:rsidRPr="0054776A">
        <w:rPr>
          <w:rStyle w:val="Strong"/>
          <w:b w:val="0"/>
          <w:bCs w:val="0"/>
        </w:rPr>
        <w:t>Farfan</w:t>
      </w:r>
      <w:proofErr w:type="spellEnd"/>
      <w:r w:rsidRPr="0054776A">
        <w:rPr>
          <w:rStyle w:val="Strong"/>
          <w:b w:val="0"/>
          <w:bCs w:val="0"/>
        </w:rPr>
        <w:t xml:space="preserve"> will serve as a member on the Enterprise Zone Board</w:t>
      </w:r>
    </w:p>
    <w:p w14:paraId="152674D1" w14:textId="77777777" w:rsidR="00670D29" w:rsidRPr="00AC4746" w:rsidRDefault="00670D29" w:rsidP="00670D29">
      <w:pPr>
        <w:autoSpaceDE w:val="0"/>
        <w:autoSpaceDN w:val="0"/>
        <w:adjustRightInd w:val="0"/>
        <w:spacing w:after="0" w:line="240" w:lineRule="auto"/>
        <w:rPr>
          <w:b/>
          <w:bCs/>
          <w:sz w:val="28"/>
          <w:szCs w:val="28"/>
        </w:rPr>
      </w:pPr>
      <w:r w:rsidRPr="00AC4746">
        <w:rPr>
          <w:b/>
          <w:bCs/>
          <w:sz w:val="28"/>
          <w:szCs w:val="28"/>
        </w:rPr>
        <w:t>OTHER NEWS:</w:t>
      </w:r>
    </w:p>
    <w:p w14:paraId="7F5C2BCC" w14:textId="77777777" w:rsidR="00670D29" w:rsidRDefault="00670D29" w:rsidP="00670D29">
      <w:pPr>
        <w:autoSpaceDE w:val="0"/>
        <w:autoSpaceDN w:val="0"/>
        <w:adjustRightInd w:val="0"/>
        <w:spacing w:after="0" w:line="240" w:lineRule="auto"/>
      </w:pPr>
    </w:p>
    <w:p w14:paraId="0E0921F4" w14:textId="77777777" w:rsidR="00670D29" w:rsidRDefault="00670D29" w:rsidP="00670D29">
      <w:pPr>
        <w:autoSpaceDE w:val="0"/>
        <w:autoSpaceDN w:val="0"/>
        <w:adjustRightInd w:val="0"/>
        <w:spacing w:after="0" w:line="240" w:lineRule="auto"/>
      </w:pPr>
      <w:r w:rsidRPr="00596422">
        <w:rPr>
          <w:b/>
          <w:bCs/>
        </w:rPr>
        <w:t>Secretary of State:</w:t>
      </w:r>
      <w:r>
        <w:t xml:space="preserve"> Secretary of State Alexi Giannoulias released his Transition Team’s report which will serve as the blueprint for modernizing the office, transforming </w:t>
      </w:r>
      <w:r w:rsidRPr="00363A88">
        <w:t>operations, and expanding</w:t>
      </w:r>
      <w:r>
        <w:t xml:space="preserve"> services.  Highlights from the report including:</w:t>
      </w:r>
    </w:p>
    <w:p w14:paraId="0F685666" w14:textId="77777777" w:rsidR="00670D29" w:rsidRDefault="00670D29" w:rsidP="00670D29">
      <w:pPr>
        <w:autoSpaceDE w:val="0"/>
        <w:autoSpaceDN w:val="0"/>
        <w:adjustRightInd w:val="0"/>
        <w:spacing w:after="0" w:line="240" w:lineRule="auto"/>
      </w:pPr>
    </w:p>
    <w:p w14:paraId="30C748D8" w14:textId="77777777" w:rsidR="00670D29" w:rsidRDefault="00670D29" w:rsidP="00670D29">
      <w:pPr>
        <w:pStyle w:val="ListParagraph"/>
        <w:numPr>
          <w:ilvl w:val="0"/>
          <w:numId w:val="2"/>
        </w:numPr>
        <w:autoSpaceDE w:val="0"/>
        <w:autoSpaceDN w:val="0"/>
        <w:adjustRightInd w:val="0"/>
        <w:spacing w:after="0" w:line="240" w:lineRule="auto"/>
      </w:pPr>
      <w:r>
        <w:t>improving driver services facilities</w:t>
      </w:r>
    </w:p>
    <w:p w14:paraId="68424C60" w14:textId="77777777" w:rsidR="00670D29" w:rsidRPr="00363A88" w:rsidRDefault="00670D29" w:rsidP="00670D29">
      <w:pPr>
        <w:pStyle w:val="ListParagraph"/>
        <w:numPr>
          <w:ilvl w:val="0"/>
          <w:numId w:val="2"/>
        </w:numPr>
        <w:autoSpaceDE w:val="0"/>
        <w:autoSpaceDN w:val="0"/>
        <w:adjustRightInd w:val="0"/>
        <w:spacing w:after="0" w:line="240" w:lineRule="auto"/>
      </w:pPr>
      <w:r>
        <w:t xml:space="preserve">strengthening lobbyist registration guidelines, increasing transparency, expanding disclosure </w:t>
      </w:r>
      <w:r w:rsidRPr="00363A88">
        <w:t>requirements, and modernizing the lobbyist registration database</w:t>
      </w:r>
    </w:p>
    <w:p w14:paraId="5278EAC5" w14:textId="77777777" w:rsidR="00670D29" w:rsidRPr="00363A88" w:rsidRDefault="00670D29" w:rsidP="00670D29">
      <w:pPr>
        <w:pStyle w:val="ListParagraph"/>
        <w:numPr>
          <w:ilvl w:val="0"/>
          <w:numId w:val="2"/>
        </w:numPr>
        <w:autoSpaceDE w:val="0"/>
        <w:autoSpaceDN w:val="0"/>
        <w:adjustRightInd w:val="0"/>
        <w:spacing w:after="0" w:line="240" w:lineRule="auto"/>
      </w:pPr>
      <w:r w:rsidRPr="00363A88">
        <w:t>library enhancements such as accessibility of e-books and online education resources</w:t>
      </w:r>
    </w:p>
    <w:p w14:paraId="03D376FD" w14:textId="77777777" w:rsidR="00670D29" w:rsidRPr="00363A88" w:rsidRDefault="00670D29" w:rsidP="00670D29">
      <w:pPr>
        <w:pStyle w:val="ListParagraph"/>
        <w:numPr>
          <w:ilvl w:val="0"/>
          <w:numId w:val="2"/>
        </w:numPr>
        <w:autoSpaceDE w:val="0"/>
        <w:autoSpaceDN w:val="0"/>
        <w:adjustRightInd w:val="0"/>
        <w:spacing w:after="0" w:line="240" w:lineRule="auto"/>
      </w:pPr>
      <w:r w:rsidRPr="00363A88">
        <w:t>enhancing the securities divisions</w:t>
      </w:r>
    </w:p>
    <w:p w14:paraId="62887F35" w14:textId="77777777" w:rsidR="00670D29" w:rsidRPr="00363A88" w:rsidRDefault="00670D29" w:rsidP="00670D29">
      <w:pPr>
        <w:pStyle w:val="ListParagraph"/>
        <w:numPr>
          <w:ilvl w:val="0"/>
          <w:numId w:val="2"/>
        </w:numPr>
        <w:autoSpaceDE w:val="0"/>
        <w:autoSpaceDN w:val="0"/>
        <w:adjustRightInd w:val="0"/>
        <w:spacing w:after="0" w:line="240" w:lineRule="auto"/>
      </w:pPr>
      <w:r w:rsidRPr="00363A88">
        <w:t>increasing voter participation through the expansion of access, motor voter registration, and educating voters about voting locations and election dates</w:t>
      </w:r>
    </w:p>
    <w:p w14:paraId="2984F00B" w14:textId="77777777" w:rsidR="00670D29" w:rsidRPr="00363A88" w:rsidRDefault="00670D29" w:rsidP="00670D29">
      <w:pPr>
        <w:pStyle w:val="ListParagraph"/>
        <w:numPr>
          <w:ilvl w:val="0"/>
          <w:numId w:val="2"/>
        </w:numPr>
        <w:autoSpaceDE w:val="0"/>
        <w:autoSpaceDN w:val="0"/>
        <w:adjustRightInd w:val="0"/>
        <w:spacing w:after="0" w:line="240" w:lineRule="auto"/>
      </w:pPr>
      <w:r w:rsidRPr="00363A88">
        <w:t xml:space="preserve">making technology advancements to enable the office to establish digital driver’s license and digital identification cards, an electronic car title system, and a mobile app to conduct </w:t>
      </w:r>
      <w:proofErr w:type="gramStart"/>
      <w:r w:rsidRPr="00363A88">
        <w:t>transactions</w:t>
      </w:r>
      <w:proofErr w:type="gramEnd"/>
    </w:p>
    <w:p w14:paraId="6BF99D07" w14:textId="77777777" w:rsidR="00670D29" w:rsidRPr="00363A88" w:rsidRDefault="00670D29" w:rsidP="00670D29">
      <w:pPr>
        <w:pStyle w:val="ListParagraph"/>
        <w:numPr>
          <w:ilvl w:val="0"/>
          <w:numId w:val="2"/>
        </w:numPr>
        <w:autoSpaceDE w:val="0"/>
        <w:autoSpaceDN w:val="0"/>
        <w:adjustRightInd w:val="0"/>
        <w:spacing w:after="0" w:line="240" w:lineRule="auto"/>
      </w:pPr>
      <w:r w:rsidRPr="00363A88">
        <w:t>enhancing business support services</w:t>
      </w:r>
    </w:p>
    <w:p w14:paraId="6209F6E0" w14:textId="77777777" w:rsidR="00670D29" w:rsidRPr="00363A88" w:rsidRDefault="00670D29" w:rsidP="00670D29">
      <w:pPr>
        <w:pStyle w:val="ListParagraph"/>
        <w:numPr>
          <w:ilvl w:val="0"/>
          <w:numId w:val="2"/>
        </w:numPr>
        <w:autoSpaceDE w:val="0"/>
        <w:autoSpaceDN w:val="0"/>
        <w:adjustRightInd w:val="0"/>
        <w:spacing w:after="0" w:line="240" w:lineRule="auto"/>
      </w:pPr>
      <w:r w:rsidRPr="00363A88">
        <w:t>enhancing the organ and tissue donor program</w:t>
      </w:r>
    </w:p>
    <w:p w14:paraId="3350C76B" w14:textId="77777777" w:rsidR="00670D29" w:rsidRPr="00363A88" w:rsidRDefault="00670D29" w:rsidP="00670D29">
      <w:pPr>
        <w:pStyle w:val="ListParagraph"/>
        <w:numPr>
          <w:ilvl w:val="0"/>
          <w:numId w:val="2"/>
        </w:numPr>
        <w:autoSpaceDE w:val="0"/>
        <w:autoSpaceDN w:val="0"/>
        <w:adjustRightInd w:val="0"/>
        <w:spacing w:after="0" w:line="240" w:lineRule="auto"/>
      </w:pPr>
      <w:r w:rsidRPr="00363A88">
        <w:t>reducing the office’s environmental footprint and using SOS offices to education the public about environmental initiatives</w:t>
      </w:r>
    </w:p>
    <w:p w14:paraId="3CFF17C2" w14:textId="77777777" w:rsidR="00670D29" w:rsidRDefault="00670D29" w:rsidP="00670D29">
      <w:pPr>
        <w:autoSpaceDE w:val="0"/>
        <w:autoSpaceDN w:val="0"/>
        <w:adjustRightInd w:val="0"/>
        <w:spacing w:after="0" w:line="240" w:lineRule="auto"/>
      </w:pPr>
    </w:p>
    <w:p w14:paraId="213F36AF" w14:textId="77777777" w:rsidR="00670D29" w:rsidRDefault="00670D29" w:rsidP="00670D29">
      <w:pPr>
        <w:autoSpaceDE w:val="0"/>
        <w:autoSpaceDN w:val="0"/>
        <w:adjustRightInd w:val="0"/>
        <w:spacing w:after="0" w:line="240" w:lineRule="auto"/>
        <w:rPr>
          <w:rFonts w:ascii="ArialMT" w:hAnsi="ArialMT" w:cs="ArialMT"/>
          <w:color w:val="000000"/>
          <w:sz w:val="24"/>
          <w:szCs w:val="24"/>
        </w:rPr>
      </w:pPr>
      <w:bookmarkStart w:id="7" w:name="_Hlk124862356"/>
      <w:r>
        <w:t xml:space="preserve">More information is available </w:t>
      </w:r>
      <w:hyperlink r:id="rId16">
        <w:r w:rsidRPr="5004646C">
          <w:rPr>
            <w:rStyle w:val="Hyperlink"/>
          </w:rPr>
          <w:t>here.</w:t>
        </w:r>
      </w:hyperlink>
      <w:r>
        <w:t xml:space="preserve"> The full transition team report is available</w:t>
      </w:r>
      <w:r w:rsidRPr="5004646C">
        <w:rPr>
          <w:rFonts w:ascii="ArialMT" w:hAnsi="ArialMT" w:cs="ArialMT"/>
          <w:color w:val="000000" w:themeColor="text1"/>
          <w:sz w:val="24"/>
          <w:szCs w:val="24"/>
        </w:rPr>
        <w:t xml:space="preserve"> </w:t>
      </w:r>
      <w:bookmarkEnd w:id="7"/>
      <w:r>
        <w:fldChar w:fldCharType="begin"/>
      </w:r>
      <w:r>
        <w:instrText>HYPERLINK "https://www.ilsos.gov/news/2023/january/230117d1-transition.pdf" \h</w:instrText>
      </w:r>
      <w:r>
        <w:fldChar w:fldCharType="separate"/>
      </w:r>
      <w:r w:rsidRPr="5004646C">
        <w:rPr>
          <w:rStyle w:val="Hyperlink"/>
        </w:rPr>
        <w:t>here.</w:t>
      </w:r>
      <w:r>
        <w:rPr>
          <w:rStyle w:val="Hyperlink"/>
        </w:rPr>
        <w:fldChar w:fldCharType="end"/>
      </w:r>
    </w:p>
    <w:p w14:paraId="11219CD0" w14:textId="77777777" w:rsidR="00670D29" w:rsidRPr="008548D2" w:rsidRDefault="00670D29" w:rsidP="00670D29">
      <w:pPr>
        <w:autoSpaceDE w:val="0"/>
        <w:autoSpaceDN w:val="0"/>
        <w:adjustRightInd w:val="0"/>
        <w:spacing w:after="0" w:line="240" w:lineRule="auto"/>
        <w:rPr>
          <w:rFonts w:ascii="ArialMT" w:hAnsi="ArialMT" w:cs="ArialMT"/>
          <w:color w:val="000000"/>
          <w:sz w:val="24"/>
          <w:szCs w:val="24"/>
        </w:rPr>
      </w:pPr>
    </w:p>
    <w:p w14:paraId="518984BE" w14:textId="77777777" w:rsidR="00670D29" w:rsidRDefault="00670D29" w:rsidP="00670D29">
      <w:pPr>
        <w:rPr>
          <w:rStyle w:val="Hyperlink"/>
        </w:rPr>
      </w:pPr>
      <w:r w:rsidRPr="008548D2">
        <w:rPr>
          <w:b/>
          <w:bCs/>
        </w:rPr>
        <w:t>Assault Weapons Ban</w:t>
      </w:r>
      <w:r>
        <w:t xml:space="preserve">: The Illinois State Rifle Association (ISRA), the Firearms Policy Coalition, Inc., the Second Amendment Foundation, two gun stores and a gun owner filed a federal lawsuit in the United States District Court for the Southern District of Illinois against Illinois Attorney General Kwame Raoul, the Director of the Illinois State Police Brendan Reilly, and numerous </w:t>
      </w:r>
      <w:r w:rsidRPr="00363A88">
        <w:t xml:space="preserve">Illinois State’s Attorneys challenging Illinois’ assault weapons ban.  Read the lawsuit </w:t>
      </w:r>
      <w:hyperlink r:id="rId17">
        <w:r w:rsidRPr="00363A88">
          <w:rPr>
            <w:rStyle w:val="Hyperlink"/>
          </w:rPr>
          <w:t>here.</w:t>
        </w:r>
      </w:hyperlink>
      <w:r w:rsidRPr="00363A88">
        <w:t xml:space="preserve">  Two other laws</w:t>
      </w:r>
      <w:r>
        <w:t xml:space="preserve">uits were filed in state court. Capitol News offers more on the state lawsuits </w:t>
      </w:r>
      <w:hyperlink r:id="rId18">
        <w:r w:rsidRPr="5004646C">
          <w:rPr>
            <w:rStyle w:val="Hyperlink"/>
          </w:rPr>
          <w:t>here.</w:t>
        </w:r>
      </w:hyperlink>
    </w:p>
    <w:p w14:paraId="23B65B2C" w14:textId="77777777" w:rsidR="00670D29" w:rsidRDefault="00670D29" w:rsidP="00670D29">
      <w:pPr>
        <w:rPr>
          <w:rStyle w:val="Hyperlink"/>
        </w:rPr>
      </w:pPr>
      <w:r w:rsidRPr="003A3232">
        <w:rPr>
          <w:b/>
          <w:bCs/>
        </w:rPr>
        <w:t>Illinois Economic Policy Institute Report:</w:t>
      </w:r>
      <w:r>
        <w:t xml:space="preserve"> A new report from the Illinois Economic Policy Institute predicts billions in lost revenue from motor fuel taxes as the state reaches its electrical vehicle goals.  Motor Fuel Taxes are the primary revenue source for the state’s transportation infrastructure.  The report warns that new revenue sources must be identified to ensure the state’s 10-year capital improvements plan remains on track. Capitol News covers the report </w:t>
      </w:r>
      <w:hyperlink r:id="rId19">
        <w:r w:rsidRPr="5004646C">
          <w:rPr>
            <w:rStyle w:val="Hyperlink"/>
          </w:rPr>
          <w:t>here.</w:t>
        </w:r>
      </w:hyperlink>
      <w:r>
        <w:t xml:space="preserve"> Read the report </w:t>
      </w:r>
      <w:hyperlink r:id="rId20">
        <w:r w:rsidRPr="5004646C">
          <w:rPr>
            <w:rStyle w:val="Hyperlink"/>
          </w:rPr>
          <w:t>here.</w:t>
        </w:r>
      </w:hyperlink>
    </w:p>
    <w:p w14:paraId="25D45AE9" w14:textId="77777777" w:rsidR="00670D29" w:rsidRDefault="00670D29" w:rsidP="00670D29">
      <w:pPr>
        <w:rPr>
          <w:rFonts w:cstheme="minorHAnsi"/>
          <w:color w:val="0000FF"/>
        </w:rPr>
      </w:pPr>
      <w:r>
        <w:t xml:space="preserve"> </w:t>
      </w:r>
    </w:p>
    <w:p w14:paraId="5EB071C3" w14:textId="77777777" w:rsidR="00670D29" w:rsidRPr="005953E0" w:rsidRDefault="00670D29" w:rsidP="00670D29">
      <w:pPr>
        <w:spacing w:after="0" w:line="240" w:lineRule="auto"/>
        <w:jc w:val="center"/>
        <w:rPr>
          <w:rFonts w:ascii="Times New Roman" w:eastAsia="Times New Roman" w:hAnsi="Times New Roman" w:cs="Times New Roman"/>
          <w:sz w:val="24"/>
          <w:szCs w:val="24"/>
        </w:rPr>
      </w:pPr>
    </w:p>
    <w:p w14:paraId="32092CDE" w14:textId="77777777" w:rsidR="00670D29" w:rsidRPr="00757327" w:rsidRDefault="00670D29" w:rsidP="00670D29">
      <w:pPr>
        <w:rPr>
          <w:rFonts w:cstheme="minorHAnsi"/>
        </w:rPr>
      </w:pPr>
    </w:p>
    <w:p w14:paraId="463159D7" w14:textId="77777777" w:rsidR="007E0D1D" w:rsidRDefault="007E0D1D"/>
    <w:sectPr w:rsidR="007E0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76D46"/>
    <w:multiLevelType w:val="multilevel"/>
    <w:tmpl w:val="DF127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0F7B6C"/>
    <w:multiLevelType w:val="hybridMultilevel"/>
    <w:tmpl w:val="60449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317C97"/>
    <w:multiLevelType w:val="hybridMultilevel"/>
    <w:tmpl w:val="E6BC3ED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621425820">
    <w:abstractNumId w:val="1"/>
  </w:num>
  <w:num w:numId="2" w16cid:durableId="2046447833">
    <w:abstractNumId w:val="2"/>
  </w:num>
  <w:num w:numId="3" w16cid:durableId="72360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D29"/>
    <w:rsid w:val="001D1A15"/>
    <w:rsid w:val="00353897"/>
    <w:rsid w:val="003E5E1A"/>
    <w:rsid w:val="0054776A"/>
    <w:rsid w:val="00670D29"/>
    <w:rsid w:val="007E0D1D"/>
    <w:rsid w:val="00D42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BE041"/>
  <w15:chartTrackingRefBased/>
  <w15:docId w15:val="{CA814F2B-0A48-4DD2-AC08-66685EEBA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D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70D29"/>
    <w:rPr>
      <w:b/>
      <w:bCs/>
    </w:rPr>
  </w:style>
  <w:style w:type="character" w:styleId="Hyperlink">
    <w:name w:val="Hyperlink"/>
    <w:basedOn w:val="DefaultParagraphFont"/>
    <w:uiPriority w:val="99"/>
    <w:unhideWhenUsed/>
    <w:rsid w:val="00670D29"/>
    <w:rPr>
      <w:color w:val="0000FF"/>
      <w:u w:val="single"/>
    </w:rPr>
  </w:style>
  <w:style w:type="paragraph" w:styleId="ListParagraph">
    <w:name w:val="List Paragraph"/>
    <w:basedOn w:val="Normal"/>
    <w:uiPriority w:val="34"/>
    <w:qFormat/>
    <w:rsid w:val="00670D29"/>
    <w:pPr>
      <w:ind w:left="720"/>
      <w:contextualSpacing/>
    </w:pPr>
  </w:style>
  <w:style w:type="table" w:styleId="TableGrid">
    <w:name w:val="Table Grid"/>
    <w:basedOn w:val="TableNormal"/>
    <w:uiPriority w:val="39"/>
    <w:rsid w:val="00670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0D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140477">
      <w:bodyDiv w:val="1"/>
      <w:marLeft w:val="0"/>
      <w:marRight w:val="0"/>
      <w:marTop w:val="0"/>
      <w:marBottom w:val="0"/>
      <w:divBdr>
        <w:top w:val="none" w:sz="0" w:space="0" w:color="auto"/>
        <w:left w:val="none" w:sz="0" w:space="0" w:color="auto"/>
        <w:bottom w:val="none" w:sz="0" w:space="0" w:color="auto"/>
        <w:right w:val="none" w:sz="0" w:space="0" w:color="auto"/>
      </w:divBdr>
    </w:div>
    <w:div w:id="159130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illinois.gov/IISNews/25909-IBHE_increases_number_of_nursing_school_grants_and_nurse_educator_fellowships_awarded.pdf" TargetMode="External"/><Relationship Id="rId13" Type="http://schemas.openxmlformats.org/officeDocument/2006/relationships/hyperlink" Target="https://idfpr.illinois.gov/Forms/AUC/Social%20Equity%20Criteria%20Primer.pdf" TargetMode="External"/><Relationship Id="rId18" Type="http://schemas.openxmlformats.org/officeDocument/2006/relationships/hyperlink" Target="https://capitolnewsillinois.com/NEWS/gun-rights-advocates-file-opening-legal-challenges-to-illinois-assault-weapons-ba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2.illinois.gov/IISNews/25933-IBHE_approves_fiscal_year_2024_budget_recommendations.pdf" TargetMode="External"/><Relationship Id="rId12" Type="http://schemas.openxmlformats.org/officeDocument/2006/relationships/hyperlink" Target="https://illinois.maps.arcgis.com/apps/instant/lookup/index.html?appid=b853ee457c364241918afb18dd2e003d" TargetMode="External"/><Relationship Id="rId17" Type="http://schemas.openxmlformats.org/officeDocument/2006/relationships/hyperlink" Target="https://drive.google.com/file/d/1mqRL8t7GNDBefQDwjnF2995e-J3xRMo7/view" TargetMode="External"/><Relationship Id="rId2" Type="http://schemas.openxmlformats.org/officeDocument/2006/relationships/styles" Target="styles.xml"/><Relationship Id="rId16" Type="http://schemas.openxmlformats.org/officeDocument/2006/relationships/hyperlink" Target="https://acrobat.adobe.com/link/review?uri=urn:aaid:scds:US:90c0be80-3f9b-3b0b-875c-0867569d5387" TargetMode="External"/><Relationship Id="rId20" Type="http://schemas.openxmlformats.org/officeDocument/2006/relationships/hyperlink" Target="https://illinoisepi.files.wordpress.com/2023/01/evs-and-increased-fuel-efficiency-and-transpo-funding-final-1.10.23.pdf" TargetMode="External"/><Relationship Id="rId1" Type="http://schemas.openxmlformats.org/officeDocument/2006/relationships/numbering" Target="numbering.xml"/><Relationship Id="rId6" Type="http://schemas.openxmlformats.org/officeDocument/2006/relationships/hyperlink" Target="https://ilga.gov/legislation/billstatus.asp?DocNum=240&amp;GAID=16&amp;GA=102&amp;DocTypeID=HB&amp;LegID=128118&amp;SessionID=110" TargetMode="External"/><Relationship Id="rId11" Type="http://schemas.openxmlformats.org/officeDocument/2006/relationships/hyperlink" Target="https://online-dfpr.micropact.com/" TargetMode="External"/><Relationship Id="rId5" Type="http://schemas.openxmlformats.org/officeDocument/2006/relationships/hyperlink" Target="https://www2.illinois.gov/Pages/news-item.aspx?ReleaseID=25906" TargetMode="External"/><Relationship Id="rId15" Type="http://schemas.openxmlformats.org/officeDocument/2006/relationships/hyperlink" Target="https://www2.illinois.gov/sites/agr/Plants/Pages/Adult-Use-Cannabis.aspx" TargetMode="External"/><Relationship Id="rId10" Type="http://schemas.openxmlformats.org/officeDocument/2006/relationships/hyperlink" Target="https://www2.illinois.gov/epa/topics/waste-management/materials-management/Pages/County-Solid-Waste-Planning-.aspx" TargetMode="External"/><Relationship Id="rId19" Type="http://schemas.openxmlformats.org/officeDocument/2006/relationships/hyperlink" Target="https://capitolnewsillinois.com/NEWS/updated-report-predicts-billions-in-motor-fuel-tax-revenue-losses-if-state-meets-ev-goals" TargetMode="External"/><Relationship Id="rId4" Type="http://schemas.openxmlformats.org/officeDocument/2006/relationships/webSettings" Target="webSettings.xml"/><Relationship Id="rId9" Type="http://schemas.openxmlformats.org/officeDocument/2006/relationships/hyperlink" Target="https://www2.illinois.gov/epa/topics/waste-management/materials-management/Pages/County-Solid-Waste-Planning-.aspx" TargetMode="External"/><Relationship Id="rId14" Type="http://schemas.openxmlformats.org/officeDocument/2006/relationships/hyperlink" Target="https://idfpr.illinois.gov/profs/adultusecan.a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5</Pages>
  <Words>2312</Words>
  <Characters>13182</Characters>
  <Application>Microsoft Office Word</Application>
  <DocSecurity>4</DocSecurity>
  <Lines>109</Lines>
  <Paragraphs>30</Paragraphs>
  <ScaleCrop>false</ScaleCrop>
  <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dcterms:created xsi:type="dcterms:W3CDTF">2023-01-23T19:46:00Z</dcterms:created>
  <dcterms:modified xsi:type="dcterms:W3CDTF">2023-01-23T19:46:00Z</dcterms:modified>
</cp:coreProperties>
</file>