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99AA" w14:textId="07065F44" w:rsidR="00CB354C" w:rsidRPr="00C5078A" w:rsidRDefault="00721946">
      <w:pPr>
        <w:rPr>
          <w:b/>
          <w:bCs/>
          <w:sz w:val="28"/>
          <w:szCs w:val="28"/>
        </w:rPr>
      </w:pPr>
      <w:r w:rsidRPr="00C5078A">
        <w:rPr>
          <w:b/>
          <w:bCs/>
          <w:sz w:val="28"/>
          <w:szCs w:val="28"/>
        </w:rPr>
        <w:t>104</w:t>
      </w:r>
      <w:r w:rsidRPr="00C5078A">
        <w:rPr>
          <w:b/>
          <w:bCs/>
          <w:sz w:val="28"/>
          <w:szCs w:val="28"/>
          <w:vertAlign w:val="superscript"/>
        </w:rPr>
        <w:t>TH</w:t>
      </w:r>
      <w:r w:rsidRPr="00C5078A">
        <w:rPr>
          <w:b/>
          <w:bCs/>
          <w:sz w:val="28"/>
          <w:szCs w:val="28"/>
        </w:rPr>
        <w:t xml:space="preserve"> ILLINOIS GENERAL ASSEMBLY:</w:t>
      </w:r>
    </w:p>
    <w:p w14:paraId="6CA166FD" w14:textId="0CAA15B0" w:rsidR="000D5076" w:rsidRPr="00C5078A" w:rsidRDefault="003C254E" w:rsidP="00DE58C7">
      <w:pPr>
        <w:rPr>
          <w:bCs/>
        </w:rPr>
      </w:pPr>
      <w:r w:rsidRPr="00C5078A">
        <w:rPr>
          <w:bCs/>
        </w:rPr>
        <w:t xml:space="preserve">The Illinois General Assembly stands adjourned for the week.  </w:t>
      </w:r>
      <w:r w:rsidR="000D5076" w:rsidRPr="00C5078A">
        <w:rPr>
          <w:bCs/>
        </w:rPr>
        <w:t>The House</w:t>
      </w:r>
      <w:r w:rsidRPr="00C5078A">
        <w:rPr>
          <w:bCs/>
        </w:rPr>
        <w:t xml:space="preserve"> </w:t>
      </w:r>
      <w:r w:rsidR="000D5076" w:rsidRPr="00C5078A">
        <w:rPr>
          <w:bCs/>
        </w:rPr>
        <w:t>will</w:t>
      </w:r>
      <w:r w:rsidRPr="00C5078A">
        <w:rPr>
          <w:bCs/>
        </w:rPr>
        <w:t xml:space="preserve"> return to session Tuesday, March 11</w:t>
      </w:r>
      <w:r w:rsidR="003E6A1E">
        <w:rPr>
          <w:bCs/>
        </w:rPr>
        <w:t>th</w:t>
      </w:r>
      <w:r w:rsidR="008E6535" w:rsidRPr="00C5078A">
        <w:rPr>
          <w:bCs/>
          <w:vertAlign w:val="superscript"/>
        </w:rPr>
        <w:t xml:space="preserve"> </w:t>
      </w:r>
      <w:r w:rsidR="008E6535" w:rsidRPr="00C5078A">
        <w:rPr>
          <w:bCs/>
        </w:rPr>
        <w:t>through Thursday, March 13</w:t>
      </w:r>
      <w:r w:rsidR="003E6A1E">
        <w:rPr>
          <w:bCs/>
        </w:rPr>
        <w:t>th</w:t>
      </w:r>
      <w:r w:rsidR="008E6535" w:rsidRPr="00C5078A">
        <w:rPr>
          <w:bCs/>
        </w:rPr>
        <w:t xml:space="preserve">. </w:t>
      </w:r>
      <w:r w:rsidR="000D5076" w:rsidRPr="00C5078A">
        <w:rPr>
          <w:bCs/>
        </w:rPr>
        <w:t>The Senate is off next week.</w:t>
      </w:r>
    </w:p>
    <w:p w14:paraId="48A8B975" w14:textId="7656B3B5" w:rsidR="005045F5" w:rsidRPr="00C5078A" w:rsidRDefault="008E6535" w:rsidP="00DE58C7">
      <w:pPr>
        <w:rPr>
          <w:bCs/>
        </w:rPr>
      </w:pPr>
      <w:r w:rsidRPr="00C5078A">
        <w:rPr>
          <w:bCs/>
        </w:rPr>
        <w:t xml:space="preserve">Two weeks remain </w:t>
      </w:r>
      <w:r w:rsidR="001F642D" w:rsidRPr="00C5078A">
        <w:rPr>
          <w:bCs/>
        </w:rPr>
        <w:t>to consider legislation at the committee level;</w:t>
      </w:r>
      <w:r w:rsidRPr="00C5078A">
        <w:rPr>
          <w:bCs/>
        </w:rPr>
        <w:t xml:space="preserve"> Friday, March 21</w:t>
      </w:r>
      <w:r w:rsidR="003E6A1E">
        <w:rPr>
          <w:bCs/>
        </w:rPr>
        <w:t>st</w:t>
      </w:r>
      <w:r w:rsidRPr="00C5078A">
        <w:rPr>
          <w:bCs/>
        </w:rPr>
        <w:t xml:space="preserve"> is the deadline to pass substantive legislation out of committee in the first chamber. </w:t>
      </w:r>
      <w:r w:rsidR="005045F5" w:rsidRPr="00C5078A">
        <w:rPr>
          <w:bCs/>
        </w:rPr>
        <w:t xml:space="preserve">With the Senate not in session next week, </w:t>
      </w:r>
      <w:r w:rsidR="37BAFB15" w:rsidRPr="00C5078A">
        <w:t xml:space="preserve">it will have </w:t>
      </w:r>
      <w:r w:rsidR="1E9F3961" w:rsidRPr="00C5078A">
        <w:t>only</w:t>
      </w:r>
      <w:r w:rsidR="005045F5" w:rsidRPr="00C5078A">
        <w:rPr>
          <w:bCs/>
        </w:rPr>
        <w:t xml:space="preserve"> one week to consider Senate Bills at the committee level. </w:t>
      </w:r>
      <w:r w:rsidR="7408179D" w:rsidRPr="00C5078A">
        <w:t xml:space="preserve">A list of upcoming House hearings is </w:t>
      </w:r>
      <w:hyperlink r:id="rId7">
        <w:r w:rsidR="7408179D" w:rsidRPr="00C5078A">
          <w:rPr>
            <w:rStyle w:val="Hyperlink"/>
          </w:rPr>
          <w:t>here</w:t>
        </w:r>
      </w:hyperlink>
      <w:r w:rsidR="7408179D" w:rsidRPr="00C5078A">
        <w:t xml:space="preserve">.  </w:t>
      </w:r>
    </w:p>
    <w:p w14:paraId="43D05D29" w14:textId="0E303FDF" w:rsidR="003C254E" w:rsidRPr="00C5078A" w:rsidRDefault="00761760" w:rsidP="00761760">
      <w:r w:rsidRPr="00C5078A">
        <w:t xml:space="preserve">As of now, there are 1,427 House Bills pending in the House Rules Committee and 1,838 Senate Bills pending in the Senate Assignments Committee. Considering the upcoming committee deadline, the current pace of bill </w:t>
      </w:r>
      <w:bookmarkStart w:id="0" w:name="_Int_fCDKvcoY"/>
      <w:proofErr w:type="gramStart"/>
      <w:r w:rsidRPr="00C5078A">
        <w:t>passage</w:t>
      </w:r>
      <w:bookmarkEnd w:id="0"/>
      <w:proofErr w:type="gramEnd"/>
      <w:r w:rsidRPr="00C5078A">
        <w:t xml:space="preserve"> out of committees, and the number of bills pending, deadline extensions are </w:t>
      </w:r>
      <w:r w:rsidR="003E6A1E">
        <w:t xml:space="preserve">more than </w:t>
      </w:r>
      <w:r w:rsidRPr="00C5078A">
        <w:t>probable.</w:t>
      </w:r>
      <w:r w:rsidR="00D958B8" w:rsidRPr="00C5078A">
        <w:t xml:space="preserve"> </w:t>
      </w:r>
    </w:p>
    <w:p w14:paraId="2C8F85E2" w14:textId="4FB475E6" w:rsidR="00C86549" w:rsidRDefault="00612E41" w:rsidP="00DE58C7">
      <w:pPr>
        <w:rPr>
          <w:bCs/>
        </w:rPr>
      </w:pPr>
      <w:r w:rsidRPr="00C5078A">
        <w:rPr>
          <w:bCs/>
        </w:rPr>
        <w:t>Only 98</w:t>
      </w:r>
      <w:r w:rsidR="00B317EA" w:rsidRPr="00C5078A">
        <w:rPr>
          <w:bCs/>
        </w:rPr>
        <w:t xml:space="preserve"> bills advanced out of committees this week with </w:t>
      </w:r>
      <w:r w:rsidR="00A232DE" w:rsidRPr="00C5078A">
        <w:rPr>
          <w:bCs/>
        </w:rPr>
        <w:t>58</w:t>
      </w:r>
      <w:r w:rsidR="002678D9" w:rsidRPr="00C5078A">
        <w:rPr>
          <w:bCs/>
        </w:rPr>
        <w:t xml:space="preserve"> House Bills and </w:t>
      </w:r>
      <w:r w:rsidR="00A232DE" w:rsidRPr="00C5078A">
        <w:rPr>
          <w:bCs/>
        </w:rPr>
        <w:t>40</w:t>
      </w:r>
      <w:r w:rsidR="002678D9" w:rsidRPr="00C5078A">
        <w:rPr>
          <w:bCs/>
        </w:rPr>
        <w:t xml:space="preserve"> Senate Bills </w:t>
      </w:r>
      <w:r w:rsidR="00B50273" w:rsidRPr="00C5078A">
        <w:rPr>
          <w:bCs/>
        </w:rPr>
        <w:t>moving</w:t>
      </w:r>
      <w:r w:rsidR="002678D9" w:rsidRPr="00C5078A">
        <w:rPr>
          <w:bCs/>
        </w:rPr>
        <w:t xml:space="preserve"> to the full chamber. </w:t>
      </w:r>
    </w:p>
    <w:p w14:paraId="2F5FF4B1" w14:textId="11C1B706" w:rsidR="002C0CE4" w:rsidRPr="00633D90" w:rsidRDefault="002C0CE4" w:rsidP="00DE58C7">
      <w:pPr>
        <w:rPr>
          <w:b/>
          <w:i/>
          <w:iCs/>
          <w:u w:val="single"/>
        </w:rPr>
      </w:pPr>
      <w:r w:rsidRPr="00633D90">
        <w:rPr>
          <w:b/>
          <w:i/>
          <w:iCs/>
          <w:u w:val="single"/>
        </w:rPr>
        <w:t>Rate Review Update</w:t>
      </w:r>
    </w:p>
    <w:p w14:paraId="7081F3E7" w14:textId="0D2938DE" w:rsidR="002C0CE4" w:rsidRDefault="002C0CE4" w:rsidP="00DE58C7">
      <w:pPr>
        <w:rPr>
          <w:bCs/>
        </w:rPr>
      </w:pPr>
      <w:r>
        <w:rPr>
          <w:bCs/>
        </w:rPr>
        <w:t>This week, the Illinois Insurance Association (IIA), the National Association of Mutual Insurance Companies (NAMIC), the American Property and Casualty Insurance Association (APCIA), and the Big I IL submitted questions for review</w:t>
      </w:r>
      <w:r w:rsidR="00633D90">
        <w:rPr>
          <w:bCs/>
        </w:rPr>
        <w:t xml:space="preserve"> and consideration to the Department of Insurance and Sen. Mike Hastings regarding </w:t>
      </w:r>
      <w:hyperlink r:id="rId8" w:history="1">
        <w:r w:rsidR="00633D90" w:rsidRPr="00633D90">
          <w:rPr>
            <w:rStyle w:val="Hyperlink"/>
            <w:bCs/>
          </w:rPr>
          <w:t>SB 268</w:t>
        </w:r>
      </w:hyperlink>
      <w:r w:rsidR="00633D90">
        <w:rPr>
          <w:bCs/>
        </w:rPr>
        <w:t xml:space="preserve">. Stakeholders plan on meeting with the Department and </w:t>
      </w:r>
      <w:proofErr w:type="gramStart"/>
      <w:r w:rsidR="00633D90">
        <w:rPr>
          <w:bCs/>
        </w:rPr>
        <w:t>sponsor</w:t>
      </w:r>
      <w:proofErr w:type="gramEnd"/>
      <w:r w:rsidR="00633D90">
        <w:rPr>
          <w:bCs/>
        </w:rPr>
        <w:t xml:space="preserve"> next week to discuss the issue further and receive feedback on our submitted questions. </w:t>
      </w:r>
      <w:r w:rsidR="00633D90" w:rsidRPr="00CB5E60">
        <w:rPr>
          <w:b/>
          <w:highlight w:val="yellow"/>
        </w:rPr>
        <w:t xml:space="preserve">Please see our </w:t>
      </w:r>
      <w:hyperlink r:id="rId9" w:history="1">
        <w:r w:rsidR="00633D90" w:rsidRPr="00CB5E60">
          <w:rPr>
            <w:rStyle w:val="Hyperlink"/>
            <w:b/>
            <w:highlight w:val="yellow"/>
          </w:rPr>
          <w:t>Message to Membership</w:t>
        </w:r>
      </w:hyperlink>
      <w:r w:rsidR="00633D90" w:rsidRPr="00CB5E60">
        <w:rPr>
          <w:b/>
          <w:highlight w:val="yellow"/>
        </w:rPr>
        <w:t xml:space="preserve"> regarding Big I IL and the Coalition for Agents and Brokers of Illinois position.</w:t>
      </w:r>
      <w:r w:rsidR="00633D90">
        <w:rPr>
          <w:bCs/>
        </w:rPr>
        <w:t xml:space="preserve">  </w:t>
      </w:r>
    </w:p>
    <w:p w14:paraId="55AE8545" w14:textId="26A67FC0" w:rsidR="002C0CE4" w:rsidRPr="002C0CE4" w:rsidRDefault="002C0CE4" w:rsidP="00DE58C7">
      <w:pPr>
        <w:rPr>
          <w:b/>
          <w:i/>
          <w:iCs/>
          <w:u w:val="single"/>
        </w:rPr>
      </w:pPr>
      <w:r w:rsidRPr="002C0CE4">
        <w:rPr>
          <w:b/>
          <w:i/>
          <w:iCs/>
          <w:u w:val="single"/>
        </w:rPr>
        <w:t>Insurance Committees</w:t>
      </w:r>
    </w:p>
    <w:p w14:paraId="5E54B5BF" w14:textId="2247ED4A" w:rsidR="00A050E5" w:rsidRDefault="005F6C5D" w:rsidP="00DE58C7">
      <w:r>
        <w:t xml:space="preserve">The House and Senate Insurance Committees both met this week. </w:t>
      </w:r>
      <w:r w:rsidR="00A050E5">
        <w:t xml:space="preserve">In the House Insurance Committee, they passed four bills out of committee. </w:t>
      </w:r>
      <w:hyperlink r:id="rId10" w:history="1">
        <w:r w:rsidR="00A050E5" w:rsidRPr="00A050E5">
          <w:rPr>
            <w:rStyle w:val="Hyperlink"/>
          </w:rPr>
          <w:t>HB 1782</w:t>
        </w:r>
      </w:hyperlink>
      <w:r w:rsidR="00A050E5">
        <w:t xml:space="preserve">, a bill to increase the fee for out-of-state CE providers. </w:t>
      </w:r>
      <w:hyperlink r:id="rId11" w:history="1">
        <w:r w:rsidR="00A050E5" w:rsidRPr="00A050E5">
          <w:rPr>
            <w:rStyle w:val="Hyperlink"/>
          </w:rPr>
          <w:t>HB 2425</w:t>
        </w:r>
      </w:hyperlink>
      <w:r w:rsidR="00A050E5">
        <w:t xml:space="preserve"> a bill to prevent life insurance companies from discriminating against people with a felony from receiving burial insurance. The bill was passed on a partisan roll call but will be held and come back to the committee with an agreed amendment. </w:t>
      </w:r>
      <w:hyperlink r:id="rId12" w:history="1">
        <w:r w:rsidR="00A050E5" w:rsidRPr="00A050E5">
          <w:rPr>
            <w:rStyle w:val="Hyperlink"/>
          </w:rPr>
          <w:t>HB 1141</w:t>
        </w:r>
      </w:hyperlink>
      <w:r w:rsidR="00A050E5">
        <w:t xml:space="preserve"> a bill concerning covering general anesthesia regardless of duration came back to the committee with an agreed amendment and passed unanimously. </w:t>
      </w:r>
      <w:hyperlink r:id="rId13" w:history="1">
        <w:r w:rsidR="002C0CE4" w:rsidRPr="002C0CE4">
          <w:rPr>
            <w:rStyle w:val="Hyperlink"/>
          </w:rPr>
          <w:t>HB 1076</w:t>
        </w:r>
      </w:hyperlink>
      <w:r w:rsidR="002C0CE4">
        <w:t xml:space="preserve"> a bill concerning allergenic supplement coverage passed on partisan roll call. </w:t>
      </w:r>
    </w:p>
    <w:p w14:paraId="379C1D21" w14:textId="0137263C" w:rsidR="002C0CE4" w:rsidRDefault="002C0CE4" w:rsidP="002C0CE4">
      <w:r>
        <w:t xml:space="preserve">In the Senate, </w:t>
      </w:r>
      <w:hyperlink r:id="rId14" w:history="1">
        <w:r w:rsidRPr="002C0CE4">
          <w:rPr>
            <w:rStyle w:val="Hyperlink"/>
          </w:rPr>
          <w:t>SB 69</w:t>
        </w:r>
      </w:hyperlink>
      <w:r>
        <w:t xml:space="preserve"> </w:t>
      </w:r>
      <w:r>
        <w:t xml:space="preserve">a bill concerning health insurance coverage for medically necessary riding therapy passed. </w:t>
      </w:r>
      <w:hyperlink r:id="rId15" w:history="1">
        <w:r w:rsidRPr="002C0CE4">
          <w:rPr>
            <w:rStyle w:val="Hyperlink"/>
          </w:rPr>
          <w:t>SB 2105</w:t>
        </w:r>
      </w:hyperlink>
      <w:r>
        <w:t xml:space="preserve"> the Department of Insurance’s bill for easy enrollment for </w:t>
      </w:r>
      <w:r>
        <w:lastRenderedPageBreak/>
        <w:t xml:space="preserve">the forthcoming State Based Exchange passed unanimously. Additionally, two bills were heard on subject matter only discussion. </w:t>
      </w:r>
      <w:hyperlink r:id="rId16" w:history="1">
        <w:r w:rsidRPr="002C0CE4">
          <w:rPr>
            <w:rStyle w:val="Hyperlink"/>
          </w:rPr>
          <w:t>SB 1238</w:t>
        </w:r>
      </w:hyperlink>
      <w:r w:rsidRPr="002C0CE4">
        <w:t xml:space="preserve"> </w:t>
      </w:r>
      <w:r>
        <w:t xml:space="preserve">a bill concerning </w:t>
      </w:r>
      <w:r w:rsidRPr="002C0CE4">
        <w:t>non-opioid</w:t>
      </w:r>
      <w:r w:rsidRPr="002C0CE4">
        <w:t xml:space="preserve"> alternatives</w:t>
      </w:r>
      <w:r>
        <w:t xml:space="preserve"> cannot be denied in favor of opioid treatment. </w:t>
      </w:r>
      <w:hyperlink r:id="rId17" w:history="1">
        <w:r w:rsidRPr="002C0CE4">
          <w:rPr>
            <w:rStyle w:val="Hyperlink"/>
          </w:rPr>
          <w:t>SB 40</w:t>
        </w:r>
      </w:hyperlink>
      <w:r>
        <w:t xml:space="preserve"> </w:t>
      </w:r>
      <w:r>
        <w:t>a bill that would require a</w:t>
      </w:r>
      <w:r>
        <w:t xml:space="preserve">ll insurance plans </w:t>
      </w:r>
      <w:r>
        <w:t xml:space="preserve">to </w:t>
      </w:r>
      <w:r>
        <w:t xml:space="preserve">cover stuttering. </w:t>
      </w:r>
    </w:p>
    <w:p w14:paraId="2BBAD3A4" w14:textId="44EF56E7" w:rsidR="002C0CE4" w:rsidRPr="002C0CE4" w:rsidRDefault="002C0CE4" w:rsidP="002C0CE4">
      <w:pPr>
        <w:rPr>
          <w:b/>
          <w:bCs/>
          <w:i/>
          <w:iCs/>
          <w:u w:val="single"/>
        </w:rPr>
      </w:pPr>
      <w:r w:rsidRPr="002C0CE4">
        <w:rPr>
          <w:b/>
          <w:bCs/>
          <w:i/>
          <w:iCs/>
          <w:u w:val="single"/>
        </w:rPr>
        <w:t>Bills in Other Committees</w:t>
      </w:r>
    </w:p>
    <w:p w14:paraId="3B35B8F4" w14:textId="343131EA" w:rsidR="00803CED" w:rsidRPr="00C5078A" w:rsidRDefault="037C6628" w:rsidP="00DE58C7">
      <w:r w:rsidRPr="00C5078A">
        <w:t xml:space="preserve">Because some </w:t>
      </w:r>
      <w:r w:rsidRPr="00C5078A">
        <w:rPr>
          <w:rFonts w:ascii="Aptos" w:eastAsia="Aptos" w:hAnsi="Aptos" w:cs="Aptos"/>
        </w:rPr>
        <w:t xml:space="preserve">3.4 million Illinoisans are covered by Medicaid, a subject matter hearing was held on </w:t>
      </w:r>
      <w:r w:rsidRPr="00C5078A">
        <w:t xml:space="preserve">potential federal cuts to the program and possible impacts on </w:t>
      </w:r>
      <w:proofErr w:type="gramStart"/>
      <w:r w:rsidRPr="00C5078A">
        <w:t>enrollees</w:t>
      </w:r>
      <w:proofErr w:type="gramEnd"/>
      <w:r w:rsidRPr="00C5078A">
        <w:t xml:space="preserve">. The </w:t>
      </w:r>
      <w:r w:rsidRPr="00C5078A">
        <w:rPr>
          <w:rFonts w:ascii="Aptos" w:eastAsia="Aptos" w:hAnsi="Aptos" w:cs="Aptos"/>
        </w:rPr>
        <w:t xml:space="preserve">House Appropriations Health and Human Services Committee conducted the hearing; read more </w:t>
      </w:r>
      <w:hyperlink r:id="rId18">
        <w:r w:rsidRPr="00C5078A">
          <w:rPr>
            <w:rStyle w:val="Hyperlink"/>
          </w:rPr>
          <w:t>here.</w:t>
        </w:r>
      </w:hyperlink>
    </w:p>
    <w:p w14:paraId="571CF041" w14:textId="36318090" w:rsidR="00803CED" w:rsidRPr="00C5078A" w:rsidRDefault="003B2190" w:rsidP="00DE58C7">
      <w:r w:rsidRPr="00C5078A">
        <w:t xml:space="preserve">In other legislative news, </w:t>
      </w:r>
      <w:r w:rsidR="00DE58C7" w:rsidRPr="00C5078A">
        <w:t xml:space="preserve">Speaker Emanuel ‘Chris’ Welch </w:t>
      </w:r>
      <w:r w:rsidR="00D46E09" w:rsidRPr="00C5078A">
        <w:t>created</w:t>
      </w:r>
      <w:r w:rsidR="00DE58C7" w:rsidRPr="00C5078A">
        <w:t xml:space="preserve"> two </w:t>
      </w:r>
      <w:r w:rsidR="00D46E09" w:rsidRPr="00C5078A">
        <w:t>additional</w:t>
      </w:r>
      <w:r w:rsidR="00DE58C7" w:rsidRPr="00C5078A">
        <w:t xml:space="preserve"> working groups to lead House Democrats’ work on property tax relief and reform, and sustainability and economic security in state pensions.</w:t>
      </w:r>
      <w:r w:rsidR="00A22ED8" w:rsidRPr="00C5078A">
        <w:t xml:space="preserve">  </w:t>
      </w:r>
    </w:p>
    <w:p w14:paraId="75374D37" w14:textId="2526A88D" w:rsidR="00DE58C7" w:rsidRPr="00C5078A" w:rsidRDefault="00A22ED8" w:rsidP="00DE58C7">
      <w:r w:rsidRPr="00C5078A">
        <w:t xml:space="preserve">The </w:t>
      </w:r>
      <w:r w:rsidR="00DE58C7" w:rsidRPr="00C5078A">
        <w:t>Property Tax Working Group</w:t>
      </w:r>
      <w:r w:rsidRPr="00C5078A">
        <w:t xml:space="preserve"> will be chaired by Representative Jehan Gordon-Booth.  Other members include Representatives </w:t>
      </w:r>
      <w:r w:rsidR="00DE58C7" w:rsidRPr="00C5078A">
        <w:t>Mary Beth Canty</w:t>
      </w:r>
      <w:r w:rsidR="00803CED" w:rsidRPr="00C5078A">
        <w:t xml:space="preserve">, </w:t>
      </w:r>
      <w:r w:rsidR="00DE58C7" w:rsidRPr="00C5078A">
        <w:t>Anthony DeLuca</w:t>
      </w:r>
      <w:r w:rsidR="00803CED" w:rsidRPr="00C5078A">
        <w:t xml:space="preserve">, </w:t>
      </w:r>
      <w:r w:rsidR="00DE58C7" w:rsidRPr="00C5078A">
        <w:t>Marti Deuter</w:t>
      </w:r>
      <w:r w:rsidR="00803CED" w:rsidRPr="00C5078A">
        <w:t xml:space="preserve">, </w:t>
      </w:r>
      <w:r w:rsidR="00DE58C7" w:rsidRPr="00C5078A">
        <w:t>Daniel Didech</w:t>
      </w:r>
      <w:r w:rsidR="00803CED" w:rsidRPr="00C5078A">
        <w:t xml:space="preserve">, </w:t>
      </w:r>
      <w:r w:rsidR="00DE58C7" w:rsidRPr="00C5078A">
        <w:t>Norma Hernandez</w:t>
      </w:r>
      <w:r w:rsidR="00803CED" w:rsidRPr="00C5078A">
        <w:t xml:space="preserve">, </w:t>
      </w:r>
      <w:r w:rsidR="00DE58C7" w:rsidRPr="00C5078A">
        <w:t>Tracy Katz Muhl</w:t>
      </w:r>
      <w:r w:rsidR="00803CED" w:rsidRPr="00C5078A">
        <w:t xml:space="preserve">, </w:t>
      </w:r>
      <w:r w:rsidR="00DE58C7" w:rsidRPr="00C5078A">
        <w:t>Suzanne Ness</w:t>
      </w:r>
      <w:r w:rsidR="00803CED" w:rsidRPr="00C5078A">
        <w:t xml:space="preserve">, </w:t>
      </w:r>
      <w:proofErr w:type="spellStart"/>
      <w:r w:rsidR="00DE58C7" w:rsidRPr="00C5078A">
        <w:t>Abdelnasser</w:t>
      </w:r>
      <w:proofErr w:type="spellEnd"/>
      <w:r w:rsidR="00DE58C7" w:rsidRPr="00C5078A">
        <w:t xml:space="preserve"> Rashid</w:t>
      </w:r>
      <w:r w:rsidR="00803CED" w:rsidRPr="00C5078A">
        <w:t xml:space="preserve">, </w:t>
      </w:r>
      <w:r w:rsidR="00DE58C7" w:rsidRPr="00C5078A">
        <w:t>Nabeela Syed</w:t>
      </w:r>
      <w:r w:rsidR="00803CED" w:rsidRPr="00C5078A">
        <w:t xml:space="preserve">, and </w:t>
      </w:r>
      <w:r w:rsidR="00DE58C7" w:rsidRPr="00C5078A">
        <w:t>Curtis Tarver II</w:t>
      </w:r>
      <w:r w:rsidR="00803CED" w:rsidRPr="00C5078A">
        <w:t>.</w:t>
      </w:r>
    </w:p>
    <w:p w14:paraId="003ADC06" w14:textId="3E4B09D9" w:rsidR="00A25810" w:rsidRPr="00C5078A" w:rsidRDefault="00803CED">
      <w:r w:rsidRPr="00C5078A">
        <w:t xml:space="preserve">Representative Jay Hoffman will chair the </w:t>
      </w:r>
      <w:r w:rsidR="00DE58C7" w:rsidRPr="00C5078A">
        <w:t>Pensions Working Group</w:t>
      </w:r>
      <w:r w:rsidRPr="00C5078A">
        <w:t xml:space="preserve">.  </w:t>
      </w:r>
      <w:r w:rsidR="037C6628" w:rsidRPr="00C5078A">
        <w:t>Serving with him are</w:t>
      </w:r>
      <w:r w:rsidRPr="00C5078A">
        <w:t xml:space="preserve"> Representatives </w:t>
      </w:r>
      <w:r w:rsidR="00DE58C7" w:rsidRPr="00C5078A">
        <w:t>Dagmara ‘Dee’ Avelar</w:t>
      </w:r>
      <w:r w:rsidRPr="00C5078A">
        <w:t xml:space="preserve">, </w:t>
      </w:r>
      <w:r w:rsidR="00DE58C7" w:rsidRPr="00C5078A">
        <w:t>Angelica Guerrero-Cuellar</w:t>
      </w:r>
      <w:r w:rsidRPr="00C5078A">
        <w:t xml:space="preserve">, </w:t>
      </w:r>
      <w:r w:rsidR="00DE58C7" w:rsidRPr="00C5078A">
        <w:t>Thaddeus Jones</w:t>
      </w:r>
      <w:r w:rsidRPr="00C5078A">
        <w:t xml:space="preserve">, </w:t>
      </w:r>
      <w:r w:rsidR="00DE58C7" w:rsidRPr="00C5078A">
        <w:t>Mike Kelly</w:t>
      </w:r>
      <w:r w:rsidRPr="00C5078A">
        <w:t xml:space="preserve">, </w:t>
      </w:r>
      <w:r w:rsidR="00DE58C7" w:rsidRPr="00C5078A">
        <w:t>Stephanie Kifowit</w:t>
      </w:r>
      <w:r w:rsidRPr="00C5078A">
        <w:t xml:space="preserve">, </w:t>
      </w:r>
      <w:r w:rsidR="00DE58C7" w:rsidRPr="00C5078A">
        <w:t>Justin Slaughter</w:t>
      </w:r>
      <w:r w:rsidRPr="00C5078A">
        <w:t xml:space="preserve">, </w:t>
      </w:r>
      <w:r w:rsidR="00DE58C7" w:rsidRPr="00C5078A">
        <w:t>Dave Vella</w:t>
      </w:r>
      <w:r w:rsidRPr="00C5078A">
        <w:t xml:space="preserve">, and </w:t>
      </w:r>
      <w:r w:rsidR="00DE58C7" w:rsidRPr="00C5078A">
        <w:t>Janet Yang Rohr</w:t>
      </w:r>
      <w:r w:rsidRPr="00C5078A">
        <w:t>.</w:t>
      </w:r>
    </w:p>
    <w:p w14:paraId="4F235C0A" w14:textId="1AD2E9E6" w:rsidR="00E73218" w:rsidRPr="00C5078A" w:rsidRDefault="00E73218" w:rsidP="00E73218">
      <w:r w:rsidRPr="00C5078A">
        <w:t xml:space="preserve">Barrington Hills Trustee Darby Hills was named the new state senator for the 26th District on Friday, </w:t>
      </w:r>
      <w:r w:rsidR="037C6628" w:rsidRPr="00C5078A">
        <w:t>February 28</w:t>
      </w:r>
      <w:r w:rsidR="005F6C5D">
        <w:t>th</w:t>
      </w:r>
      <w:r w:rsidR="037C6628" w:rsidRPr="00C5078A">
        <w:t xml:space="preserve"> -- for </w:t>
      </w:r>
      <w:r w:rsidRPr="00C5078A">
        <w:t>the second time in a month. Republican Party leaders representing the district selected Hills to succeed Republican Dan McConchie of Hawthorn Woods, who resigned on February 2</w:t>
      </w:r>
      <w:r w:rsidR="005F6C5D">
        <w:t>nd</w:t>
      </w:r>
      <w:r w:rsidRPr="00C5078A">
        <w:t>.</w:t>
      </w:r>
    </w:p>
    <w:p w14:paraId="40DB0E7D" w14:textId="5D206D30" w:rsidR="00E73218" w:rsidRPr="00C5078A" w:rsidRDefault="00E73218">
      <w:r w:rsidRPr="00C5078A">
        <w:t xml:space="preserve">Plaintiff Brittany </w:t>
      </w:r>
      <w:proofErr w:type="spellStart"/>
      <w:r w:rsidRPr="00C5078A">
        <w:t>Colatorti</w:t>
      </w:r>
      <w:proofErr w:type="spellEnd"/>
      <w:r w:rsidRPr="00C5078A">
        <w:t xml:space="preserve"> alleged that Hills </w:t>
      </w:r>
      <w:r w:rsidRPr="00C5078A">
        <w:rPr>
          <w:rFonts w:ascii="Aptos" w:eastAsia="Aptos" w:hAnsi="Aptos" w:cs="Aptos"/>
        </w:rPr>
        <w:t>lacked sufficient Republican Party activity</w:t>
      </w:r>
      <w:r w:rsidR="037C6628" w:rsidRPr="00C5078A">
        <w:t xml:space="preserve"> and hence was ineligible for the appointment. </w:t>
      </w:r>
      <w:r w:rsidRPr="00C5078A">
        <w:t xml:space="preserve"> In response, Lake County Republican Party Chair Keith Brin, who led the legislative committee that met </w:t>
      </w:r>
      <w:r w:rsidR="037C6628" w:rsidRPr="00C5078A">
        <w:t>last Friday,</w:t>
      </w:r>
      <w:r w:rsidRPr="00C5078A">
        <w:t xml:space="preserve"> appointed Hills to an open Republican precinct committee post </w:t>
      </w:r>
      <w:bookmarkStart w:id="1" w:name="_Int_y5d5Hy1V"/>
      <w:proofErr w:type="gramStart"/>
      <w:r w:rsidRPr="00C5078A">
        <w:t>in an effort to</w:t>
      </w:r>
      <w:bookmarkEnd w:id="1"/>
      <w:proofErr w:type="gramEnd"/>
      <w:r w:rsidRPr="00C5078A">
        <w:t xml:space="preserve"> boost her GOP credentials.</w:t>
      </w:r>
    </w:p>
    <w:p w14:paraId="1F8FD87B" w14:textId="290D03AC" w:rsidR="00832E4D" w:rsidRPr="00C5078A" w:rsidRDefault="00832E4D">
      <w:r w:rsidRPr="00C5078A">
        <w:t xml:space="preserve">Senator Hills will serve as Minority Spokesperson for the Child Welfare Committee, as well as </w:t>
      </w:r>
      <w:r w:rsidR="037C6628" w:rsidRPr="00C5078A">
        <w:t>sit on</w:t>
      </w:r>
      <w:r w:rsidRPr="00C5078A">
        <w:t xml:space="preserve"> the </w:t>
      </w:r>
      <w:r w:rsidR="007502BF" w:rsidRPr="00C5078A">
        <w:t>Commerce, Consumer Protection, Judiciary, and Transportation committees.</w:t>
      </w:r>
    </w:p>
    <w:p w14:paraId="6715069A" w14:textId="77777777" w:rsidR="00041C66" w:rsidRPr="00C5078A" w:rsidRDefault="00041C66" w:rsidP="00041C66">
      <w:pPr>
        <w:pStyle w:val="NoSpacing"/>
        <w:rPr>
          <w:b/>
          <w:bCs/>
          <w:u w:val="single"/>
        </w:rPr>
      </w:pPr>
      <w:r w:rsidRPr="00C5078A">
        <w:rPr>
          <w:b/>
          <w:bCs/>
          <w:u w:val="single"/>
        </w:rPr>
        <w:t>2025 Spring Session Key Dates and Deadlines:</w:t>
      </w:r>
    </w:p>
    <w:p w14:paraId="2CAB241A" w14:textId="77777777" w:rsidR="00041C66" w:rsidRPr="00C5078A" w:rsidRDefault="00041C66" w:rsidP="00041C66">
      <w:pPr>
        <w:pStyle w:val="NoSpacing"/>
      </w:pPr>
      <w:r w:rsidRPr="00C5078A">
        <w:t>March 21:  Deadline – Committee Deadline Both Chambers</w:t>
      </w:r>
    </w:p>
    <w:p w14:paraId="3C94D156" w14:textId="77777777" w:rsidR="00041C66" w:rsidRPr="00C5078A" w:rsidRDefault="00041C66" w:rsidP="00041C66">
      <w:pPr>
        <w:pStyle w:val="NoSpacing"/>
      </w:pPr>
      <w:r w:rsidRPr="00C5078A">
        <w:t>April 11:  Deadline – Third Reading Deadline Both Chambers</w:t>
      </w:r>
    </w:p>
    <w:p w14:paraId="342FAC8E" w14:textId="77777777" w:rsidR="00041C66" w:rsidRPr="00C5078A" w:rsidRDefault="00041C66" w:rsidP="00041C66">
      <w:pPr>
        <w:pStyle w:val="NoSpacing"/>
      </w:pPr>
      <w:r w:rsidRPr="00C5078A">
        <w:t>May 9:  Deadline – Committee Deadline Bills in Opposite Chamber</w:t>
      </w:r>
    </w:p>
    <w:p w14:paraId="23FB9509" w14:textId="77777777" w:rsidR="00041C66" w:rsidRPr="00C5078A" w:rsidRDefault="00041C66" w:rsidP="00041C66">
      <w:pPr>
        <w:pStyle w:val="NoSpacing"/>
      </w:pPr>
      <w:r w:rsidRPr="00C5078A">
        <w:t>May 23:  Deadline – Third Reading Deadline Bills in Opposite Chamber</w:t>
      </w:r>
    </w:p>
    <w:p w14:paraId="1AE53AFF" w14:textId="4CCFDCD9" w:rsidR="00041C66" w:rsidRPr="00C5078A" w:rsidRDefault="00041C66" w:rsidP="00041C66">
      <w:pPr>
        <w:pStyle w:val="NoSpacing"/>
      </w:pPr>
      <w:r w:rsidRPr="00C5078A">
        <w:lastRenderedPageBreak/>
        <w:t>May 31: Adjournment</w:t>
      </w:r>
    </w:p>
    <w:p w14:paraId="1FC533B1" w14:textId="77777777" w:rsidR="00041C66" w:rsidRPr="00C5078A" w:rsidRDefault="00041C66" w:rsidP="00041C66">
      <w:pPr>
        <w:pStyle w:val="NoSpacing"/>
      </w:pPr>
    </w:p>
    <w:p w14:paraId="3BAE615A" w14:textId="6B647387" w:rsidR="00A25810" w:rsidRPr="00C5078A" w:rsidRDefault="00A25810">
      <w:pPr>
        <w:rPr>
          <w:b/>
          <w:bCs/>
          <w:sz w:val="28"/>
          <w:szCs w:val="28"/>
        </w:rPr>
      </w:pPr>
      <w:proofErr w:type="gramStart"/>
      <w:r w:rsidRPr="00C5078A">
        <w:rPr>
          <w:b/>
          <w:bCs/>
          <w:sz w:val="28"/>
          <w:szCs w:val="28"/>
        </w:rPr>
        <w:t>GOVERNOR’S</w:t>
      </w:r>
      <w:proofErr w:type="gramEnd"/>
      <w:r w:rsidRPr="00C5078A">
        <w:rPr>
          <w:b/>
          <w:bCs/>
          <w:sz w:val="28"/>
          <w:szCs w:val="28"/>
        </w:rPr>
        <w:t xml:space="preserve"> HIGHLIGHTS:</w:t>
      </w:r>
    </w:p>
    <w:p w14:paraId="798F7A12" w14:textId="72B2F544" w:rsidR="003B2190" w:rsidRPr="00C5078A" w:rsidRDefault="0084112E" w:rsidP="003B2190">
      <w:r w:rsidRPr="00C5078A">
        <w:rPr>
          <w:b/>
          <w:bCs/>
        </w:rPr>
        <w:t xml:space="preserve">Governor </w:t>
      </w:r>
      <w:r w:rsidR="00822E42" w:rsidRPr="00C5078A">
        <w:rPr>
          <w:b/>
          <w:bCs/>
        </w:rPr>
        <w:t>Pritzker</w:t>
      </w:r>
      <w:r w:rsidRPr="00C5078A">
        <w:rPr>
          <w:b/>
          <w:bCs/>
        </w:rPr>
        <w:t xml:space="preserve"> Responds to Tariffs</w:t>
      </w:r>
      <w:r w:rsidRPr="00C5078A">
        <w:t xml:space="preserve">:  Democratic Governor JB Pritzker issued a statement </w:t>
      </w:r>
      <w:r w:rsidR="00813C75" w:rsidRPr="00C5078A">
        <w:t>regarding President Trump’s tariffs plan.  Pritzker noted</w:t>
      </w:r>
      <w:r w:rsidRPr="00C5078A">
        <w:t xml:space="preserve"> “Trump’s Tax on Working Families will have a devastating impact on Illinois’ manufacturing and agriculture sectors and will hurt hardworking Illinoisans at the grocery store checkout, on their utility bills, and at the gas pump. I have spent the past few weeks talking with farmers, manufacturers, and even breweries who have been preparing to reduce production and raise prices – actions that may have ripple effects for supply chains in Illinois and across the country. </w:t>
      </w:r>
    </w:p>
    <w:p w14:paraId="79A79CD0" w14:textId="51027694" w:rsidR="004414F4" w:rsidRPr="00C5078A" w:rsidRDefault="00111000" w:rsidP="003B2190">
      <w:r w:rsidRPr="00C5078A">
        <w:t xml:space="preserve">He further said, </w:t>
      </w:r>
      <w:r w:rsidR="0084112E" w:rsidRPr="00C5078A">
        <w:t>“Donald Trump swore to bring down costs on Day One. Instead, he’s taxing working families while embarrassing America on the world stage. I will be staying in close contact with representatives from Canada and Mexico to emphasize Illinois’ commitment to an ongoing trade partnership, and I will not stop fighting to ensure Illinoisans get a fair deal for our economy and our families.”</w:t>
      </w:r>
      <w:r w:rsidR="00813C75" w:rsidRPr="00C5078A">
        <w:t xml:space="preserve">  Read the full statement </w:t>
      </w:r>
      <w:hyperlink r:id="rId19" w:history="1">
        <w:r w:rsidR="00D46E09" w:rsidRPr="00C5078A">
          <w:rPr>
            <w:rStyle w:val="Hyperlink"/>
          </w:rPr>
          <w:t>here.</w:t>
        </w:r>
      </w:hyperlink>
      <w:r w:rsidR="00D46E09" w:rsidRPr="00C5078A">
        <w:t xml:space="preserve"> </w:t>
      </w:r>
    </w:p>
    <w:p w14:paraId="09D10156" w14:textId="4077BF88" w:rsidR="00A25810" w:rsidRPr="00C5078A" w:rsidRDefault="00822E42" w:rsidP="00A25810">
      <w:pPr>
        <w:rPr>
          <w:rFonts w:ascii="Aptos" w:eastAsia="Aptos" w:hAnsi="Aptos" w:cs="Aptos"/>
        </w:rPr>
      </w:pPr>
      <w:r w:rsidRPr="00C5078A">
        <w:rPr>
          <w:b/>
          <w:bCs/>
        </w:rPr>
        <w:t xml:space="preserve">Wieland’s Celebrates </w:t>
      </w:r>
      <w:proofErr w:type="gramStart"/>
      <w:r w:rsidRPr="00C5078A">
        <w:rPr>
          <w:b/>
          <w:bCs/>
        </w:rPr>
        <w:t>Ground Breaking</w:t>
      </w:r>
      <w:proofErr w:type="gramEnd"/>
      <w:r w:rsidRPr="00C5078A">
        <w:t xml:space="preserve">:  </w:t>
      </w:r>
      <w:r w:rsidR="0F4FFBD6" w:rsidRPr="00C5078A">
        <w:t>A groundbreaking ceremony was held this</w:t>
      </w:r>
      <w:r w:rsidR="00A25810" w:rsidRPr="00C5078A">
        <w:t xml:space="preserve"> week</w:t>
      </w:r>
      <w:r w:rsidR="0F4FFBD6" w:rsidRPr="00C5078A">
        <w:t xml:space="preserve"> for an East Alton facility.  </w:t>
      </w:r>
      <w:r w:rsidR="00A25810" w:rsidRPr="00C5078A">
        <w:rPr>
          <w:rFonts w:ascii="Aptos" w:eastAsia="Aptos" w:hAnsi="Aptos" w:cs="Aptos"/>
        </w:rPr>
        <w:t>Wieland Rolled Products North America</w:t>
      </w:r>
      <w:r w:rsidR="0F4FFBD6" w:rsidRPr="00C5078A">
        <w:rPr>
          <w:rFonts w:ascii="Aptos" w:eastAsia="Aptos" w:hAnsi="Aptos" w:cs="Aptos"/>
        </w:rPr>
        <w:t xml:space="preserve"> was joined by Governor Pritzker, representatives from</w:t>
      </w:r>
      <w:r w:rsidR="00A25810" w:rsidRPr="00C5078A">
        <w:rPr>
          <w:rFonts w:ascii="Aptos" w:eastAsia="Aptos" w:hAnsi="Aptos" w:cs="Aptos"/>
        </w:rPr>
        <w:t xml:space="preserve"> the Illinois Department of Commerce and Economic Opportunity</w:t>
      </w:r>
      <w:r w:rsidR="0F4FFBD6" w:rsidRPr="00C5078A">
        <w:rPr>
          <w:rFonts w:ascii="Aptos" w:eastAsia="Aptos" w:hAnsi="Aptos" w:cs="Aptos"/>
        </w:rPr>
        <w:t>, and others to mark</w:t>
      </w:r>
      <w:r w:rsidR="00A25810" w:rsidRPr="00C5078A">
        <w:rPr>
          <w:rFonts w:ascii="Aptos" w:eastAsia="Aptos" w:hAnsi="Aptos" w:cs="Aptos"/>
        </w:rPr>
        <w:t xml:space="preserve"> the </w:t>
      </w:r>
      <w:r w:rsidR="0F4FFBD6" w:rsidRPr="00C5078A">
        <w:rPr>
          <w:rFonts w:ascii="Aptos" w:eastAsia="Aptos" w:hAnsi="Aptos" w:cs="Aptos"/>
        </w:rPr>
        <w:t>company’s</w:t>
      </w:r>
      <w:r w:rsidR="00A25810" w:rsidRPr="00C5078A">
        <w:rPr>
          <w:rFonts w:ascii="Aptos" w:eastAsia="Aptos" w:hAnsi="Aptos" w:cs="Aptos"/>
        </w:rPr>
        <w:t xml:space="preserve"> </w:t>
      </w:r>
      <w:r w:rsidR="00A25810" w:rsidRPr="00C5078A">
        <w:t xml:space="preserve">$500 million investment </w:t>
      </w:r>
      <w:r w:rsidR="0F4FFBD6" w:rsidRPr="00C5078A">
        <w:t xml:space="preserve">that </w:t>
      </w:r>
      <w:r w:rsidR="00A25810" w:rsidRPr="00C5078A">
        <w:t xml:space="preserve">will retain 800 jobs </w:t>
      </w:r>
      <w:r w:rsidR="0F4FFBD6" w:rsidRPr="00C5078A">
        <w:t xml:space="preserve">statewide.   </w:t>
      </w:r>
      <w:r w:rsidR="023CE50E" w:rsidRPr="00C5078A">
        <w:t>The modernization project will install a new state-of-the-art hot rolling mill</w:t>
      </w:r>
      <w:r w:rsidR="0F4FFBD6" w:rsidRPr="00C5078A">
        <w:t xml:space="preserve"> for</w:t>
      </w:r>
      <w:r w:rsidR="00A25810" w:rsidRPr="00C5078A">
        <w:t xml:space="preserve"> increased production of critical copper and copper alloy components used in electric vehicles (EVs), EV charging infrastructure, and renewable energy. This investment supports Illinois' clean energy economy.  Read more </w:t>
      </w:r>
      <w:hyperlink r:id="rId20">
        <w:r w:rsidR="0F4FFBD6" w:rsidRPr="00C5078A">
          <w:rPr>
            <w:rStyle w:val="Hyperlink"/>
          </w:rPr>
          <w:t>here.</w:t>
        </w:r>
      </w:hyperlink>
      <w:r w:rsidR="0F4FFBD6" w:rsidRPr="00C5078A">
        <w:t xml:space="preserve">  </w:t>
      </w:r>
    </w:p>
    <w:p w14:paraId="70A0074D" w14:textId="5D3B3DFC" w:rsidR="03D81EE4" w:rsidRPr="00C5078A" w:rsidRDefault="00721946" w:rsidP="03D81EE4">
      <w:pPr>
        <w:spacing w:after="0"/>
        <w:rPr>
          <w:b/>
        </w:rPr>
      </w:pPr>
      <w:r w:rsidRPr="00C5078A">
        <w:rPr>
          <w:b/>
          <w:bCs/>
          <w:sz w:val="28"/>
          <w:szCs w:val="28"/>
        </w:rPr>
        <w:t>OTHER NEWS:</w:t>
      </w:r>
    </w:p>
    <w:p w14:paraId="2C00EECA" w14:textId="06E914B3" w:rsidR="03D81EE4" w:rsidRPr="00C5078A" w:rsidRDefault="03D81EE4" w:rsidP="00007B87">
      <w:r w:rsidRPr="00C5078A">
        <w:rPr>
          <w:b/>
        </w:rPr>
        <w:t>CGFA Revised FY 25 Revenue Estimate</w:t>
      </w:r>
      <w:r w:rsidRPr="00C5078A">
        <w:t>: The Commission on Government Forecasting and Accountability issued a revised revenue estimate for the current fiscal year which ends June 30</w:t>
      </w:r>
      <w:r w:rsidR="005F6C5D">
        <w:t>th</w:t>
      </w:r>
      <w:r w:rsidRPr="00C5078A">
        <w:t>.  In total, the agency is upwardly recasting by $333 million (0.6%) its General Funds revenue outlook -- now expected to come in at $53.614 billion rather than $53.281 bill</w:t>
      </w:r>
      <w:r w:rsidR="00617403" w:rsidRPr="00C5078A">
        <w:t xml:space="preserve">ion. </w:t>
      </w:r>
      <w:r w:rsidRPr="00C5078A">
        <w:t>The overall pace of revenues remains on track to meet or slightly exceed the enacted revenue assumptions, CGFA reports, but the performance of individual sources has been mixed. For example, due to moderate employment and wage growth, Personal Income Tax exceeded expectations, up 7.2% through February, with increases also being seen in business-related tax revenues from Pass-through Entity payments. However, this also led to underperformance in Corporate Income Tax receipts. The result</w:t>
      </w:r>
      <w:r w:rsidR="00565CB6" w:rsidRPr="00C5078A">
        <w:t>: CGFA</w:t>
      </w:r>
      <w:r w:rsidRPr="00C5078A">
        <w:t xml:space="preserve"> is </w:t>
      </w:r>
      <w:r w:rsidRPr="00C5078A">
        <w:lastRenderedPageBreak/>
        <w:t xml:space="preserve">increasing its Personal Income Tax projection by $1.217 billion but lowering by $655 million the Corporate Income Tax estimate. </w:t>
      </w:r>
    </w:p>
    <w:p w14:paraId="444F73E6" w14:textId="77777777" w:rsidR="003D6859" w:rsidRPr="00C5078A" w:rsidRDefault="03D81EE4" w:rsidP="00051F80">
      <w:r w:rsidRPr="00C5078A">
        <w:t xml:space="preserve">Underperformance this fiscal year is also being seen in Sales Tax receipts (down 0.6% through February), prompting a $363 million downward revision. But adjustments in other areas, such as an upward revision in Interest on State Funds &amp; Investments, have resulted in a net increase of $215 million. </w:t>
      </w:r>
    </w:p>
    <w:p w14:paraId="2991A899" w14:textId="199224AC" w:rsidR="03D81EE4" w:rsidRPr="005F6C5D" w:rsidRDefault="03D81EE4" w:rsidP="005F6C5D">
      <w:r w:rsidRPr="00C5078A">
        <w:t xml:space="preserve">Because the Transfers In category has delivered slightly disappointing numbers, a $219 million downward adjustment has been applied to it. With respect to Federal Sources, though, CGFA projects that numbers are on pace to surpass the May projection and thus should yield a $73 million increase. Additionally, $65 million in one-time federal stimulus-related money was received earlier this fiscal year. </w:t>
      </w:r>
    </w:p>
    <w:p w14:paraId="4D360287" w14:textId="5EF9E392"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Some different stances on revenue estimates are taken by the Governor’s Office of Management and Budget (GOMB). In its FY 2026 Budget Book, GOMB revised its FY 2025 General Funds outlook, projecting total revenue of $53.900 billion. This figure exceeds by $619 million the FY 2025 Enacted Budget's assumed revenue of $53.281 billion. However, CGFA’s March 2025 estimate of $53.582 billion is $286 million (or -0.5</w:t>
      </w:r>
      <w:proofErr w:type="gramStart"/>
      <w:r w:rsidRPr="00C5078A">
        <w:rPr>
          <w:rFonts w:eastAsiaTheme="minorEastAsia"/>
          <w:color w:val="000000" w:themeColor="text1"/>
        </w:rPr>
        <w:t>% )</w:t>
      </w:r>
      <w:proofErr w:type="gramEnd"/>
      <w:r w:rsidRPr="00C5078A">
        <w:rPr>
          <w:rFonts w:eastAsiaTheme="minorEastAsia"/>
          <w:color w:val="000000" w:themeColor="text1"/>
        </w:rPr>
        <w:t xml:space="preserve"> lower than what GOMB put forth in its February 2025 revised forecast. </w:t>
      </w:r>
    </w:p>
    <w:p w14:paraId="0A04587C" w14:textId="77777777" w:rsidR="00AB4857" w:rsidRPr="00C5078A" w:rsidRDefault="00AB4857" w:rsidP="03D81EE4">
      <w:pPr>
        <w:spacing w:after="0"/>
        <w:rPr>
          <w:rFonts w:eastAsiaTheme="minorEastAsia"/>
          <w:color w:val="000000" w:themeColor="text1"/>
        </w:rPr>
      </w:pPr>
    </w:p>
    <w:p w14:paraId="55F3F66C" w14:textId="528CDEA7"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 xml:space="preserve">Key differences in the revenue estimates include: </w:t>
      </w:r>
    </w:p>
    <w:p w14:paraId="66F9CE36" w14:textId="73A8C480" w:rsidR="03D81EE4" w:rsidRPr="00C5078A" w:rsidRDefault="03D81EE4" w:rsidP="00AB4857">
      <w:pPr>
        <w:pStyle w:val="ListParagraph"/>
        <w:numPr>
          <w:ilvl w:val="0"/>
          <w:numId w:val="1"/>
        </w:numPr>
        <w:spacing w:after="0"/>
        <w:rPr>
          <w:rFonts w:eastAsiaTheme="minorEastAsia"/>
        </w:rPr>
      </w:pPr>
      <w:r w:rsidRPr="00C5078A">
        <w:rPr>
          <w:rFonts w:eastAsiaTheme="minorEastAsia"/>
        </w:rPr>
        <w:t>Both CGFA and GOMB have significantly increased the Personal Income Tax (net) forecast due to year-to-date growth. CGFA’s adjustment is $22 million lower than GOMB's, but this variance (-0.1</w:t>
      </w:r>
      <w:r w:rsidR="006F30CD" w:rsidRPr="00C5078A">
        <w:rPr>
          <w:rFonts w:eastAsiaTheme="minorEastAsia"/>
        </w:rPr>
        <w:t>%)</w:t>
      </w:r>
      <w:r w:rsidRPr="00C5078A">
        <w:rPr>
          <w:rFonts w:eastAsiaTheme="minorEastAsia"/>
        </w:rPr>
        <w:t xml:space="preserve"> is negligible given the size of this revenue source. </w:t>
      </w:r>
    </w:p>
    <w:p w14:paraId="0E0D3095" w14:textId="301D6721" w:rsidR="03D81EE4" w:rsidRPr="00C5078A" w:rsidRDefault="03D81EE4" w:rsidP="00AB4857">
      <w:pPr>
        <w:pStyle w:val="ListParagraph"/>
        <w:numPr>
          <w:ilvl w:val="0"/>
          <w:numId w:val="1"/>
        </w:numPr>
        <w:spacing w:after="0"/>
        <w:rPr>
          <w:rFonts w:eastAsiaTheme="minorEastAsia"/>
        </w:rPr>
      </w:pPr>
      <w:r w:rsidRPr="00C5078A">
        <w:rPr>
          <w:rFonts w:eastAsiaTheme="minorEastAsia"/>
        </w:rPr>
        <w:t xml:space="preserve">CGFA also has a lower projection than GOMB for the Corporate Income Tax (net), to the tune of $177 million. This difference likely stems from CGFA’s inclusion of notable declines observed in January and February </w:t>
      </w:r>
      <w:proofErr w:type="gramStart"/>
      <w:r w:rsidRPr="00C5078A">
        <w:rPr>
          <w:rFonts w:eastAsiaTheme="minorEastAsia"/>
        </w:rPr>
        <w:t xml:space="preserve">actuals </w:t>
      </w:r>
      <w:r w:rsidR="69C8FB34" w:rsidRPr="00C5078A">
        <w:rPr>
          <w:rFonts w:eastAsiaTheme="minorEastAsia"/>
        </w:rPr>
        <w:t>in</w:t>
      </w:r>
      <w:r w:rsidRPr="00C5078A">
        <w:rPr>
          <w:rFonts w:eastAsiaTheme="minorEastAsia"/>
        </w:rPr>
        <w:t xml:space="preserve"> its</w:t>
      </w:r>
      <w:proofErr w:type="gramEnd"/>
      <w:r w:rsidRPr="00C5078A">
        <w:rPr>
          <w:rFonts w:eastAsiaTheme="minorEastAsia"/>
        </w:rPr>
        <w:t xml:space="preserve"> estimate. </w:t>
      </w:r>
    </w:p>
    <w:p w14:paraId="31122A6E" w14:textId="77777777" w:rsidR="00AB4857" w:rsidRPr="00C5078A" w:rsidRDefault="03D81EE4" w:rsidP="00AB4857">
      <w:pPr>
        <w:pStyle w:val="ListParagraph"/>
        <w:numPr>
          <w:ilvl w:val="0"/>
          <w:numId w:val="1"/>
        </w:numPr>
        <w:spacing w:after="0"/>
        <w:rPr>
          <w:rFonts w:eastAsiaTheme="minorEastAsia"/>
        </w:rPr>
      </w:pPr>
      <w:r w:rsidRPr="00C5078A">
        <w:rPr>
          <w:rFonts w:eastAsiaTheme="minorEastAsia"/>
        </w:rPr>
        <w:t>Both CGFA and GOMB have also revised down their Sales Tax (net) estimates due to subpar year-to-date performance, with CGFA projections coming in at $152 million less than GOMB’s.</w:t>
      </w:r>
    </w:p>
    <w:p w14:paraId="72BB4C07" w14:textId="77777777" w:rsidR="00AB4857" w:rsidRPr="00C5078A" w:rsidRDefault="03D81EE4" w:rsidP="00AB4857">
      <w:pPr>
        <w:pStyle w:val="ListParagraph"/>
        <w:numPr>
          <w:ilvl w:val="0"/>
          <w:numId w:val="1"/>
        </w:numPr>
        <w:spacing w:after="0"/>
        <w:rPr>
          <w:rFonts w:eastAsiaTheme="minorEastAsia"/>
        </w:rPr>
      </w:pPr>
      <w:r w:rsidRPr="00C5078A">
        <w:rPr>
          <w:rFonts w:eastAsiaTheme="minorEastAsia"/>
        </w:rPr>
        <w:t xml:space="preserve">CGFA did have more optimism than GOMB about expected performance in the category of All Other State Sources. CGFA’s projections reflect a combined $60 million higher than GOMB's, primarily due to higher projections for interest income and insurance taxes. </w:t>
      </w:r>
    </w:p>
    <w:p w14:paraId="24FD1B68" w14:textId="77777777" w:rsidR="00AB4857" w:rsidRPr="00C5078A" w:rsidRDefault="03D81EE4" w:rsidP="00AB4857">
      <w:pPr>
        <w:pStyle w:val="ListParagraph"/>
        <w:numPr>
          <w:ilvl w:val="0"/>
          <w:numId w:val="1"/>
        </w:numPr>
        <w:spacing w:after="0"/>
        <w:rPr>
          <w:rFonts w:eastAsiaTheme="minorEastAsia"/>
        </w:rPr>
      </w:pPr>
      <w:r w:rsidRPr="00C5078A">
        <w:rPr>
          <w:rFonts w:eastAsiaTheme="minorEastAsia"/>
        </w:rPr>
        <w:t xml:space="preserve">The downward adjustments for Transfers In are nearly identical, with CGFA’s revised forecast just $5 million higher than GOMB's. </w:t>
      </w:r>
    </w:p>
    <w:p w14:paraId="24237B66" w14:textId="203EA5FC" w:rsidR="03D81EE4" w:rsidRPr="00C5078A" w:rsidRDefault="03D81EE4" w:rsidP="00AB4857">
      <w:pPr>
        <w:pStyle w:val="ListParagraph"/>
        <w:numPr>
          <w:ilvl w:val="0"/>
          <w:numId w:val="1"/>
        </w:numPr>
        <w:spacing w:after="0"/>
        <w:rPr>
          <w:rFonts w:eastAsiaTheme="minorEastAsia"/>
        </w:rPr>
      </w:pPr>
      <w:proofErr w:type="gramStart"/>
      <w:r w:rsidRPr="00C5078A">
        <w:rPr>
          <w:rFonts w:eastAsiaTheme="minorEastAsia"/>
        </w:rPr>
        <w:lastRenderedPageBreak/>
        <w:t>At this time</w:t>
      </w:r>
      <w:proofErr w:type="gramEnd"/>
      <w:r w:rsidRPr="00C5078A">
        <w:rPr>
          <w:rFonts w:eastAsiaTheme="minorEastAsia"/>
        </w:rPr>
        <w:t xml:space="preserve">, the Commission is adopting GOMB’s FY 2025 Federal Sources figure. Both agencies include the one-time deposit of $65 million in ARPA receipts in the overall total. </w:t>
      </w:r>
      <w:r w:rsidRPr="00C5078A">
        <w:rPr>
          <w:rFonts w:eastAsia="Aptos" w:cs="Aptos"/>
          <w:color w:val="000000" w:themeColor="text1"/>
        </w:rPr>
        <w:t xml:space="preserve"> </w:t>
      </w:r>
    </w:p>
    <w:p w14:paraId="0C96BF23" w14:textId="1BBB84B1"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 xml:space="preserve">Read more </w:t>
      </w:r>
      <w:hyperlink r:id="rId21">
        <w:r w:rsidRPr="00C5078A">
          <w:rPr>
            <w:rStyle w:val="Hyperlink"/>
            <w:rFonts w:eastAsiaTheme="minorEastAsia"/>
            <w:color w:val="467886"/>
            <w:u w:val="none"/>
          </w:rPr>
          <w:t>here</w:t>
        </w:r>
      </w:hyperlink>
      <w:r w:rsidRPr="00C5078A">
        <w:rPr>
          <w:rFonts w:eastAsiaTheme="minorEastAsia"/>
          <w:color w:val="000000" w:themeColor="text1"/>
        </w:rPr>
        <w:t xml:space="preserve"> and </w:t>
      </w:r>
      <w:hyperlink r:id="rId22">
        <w:r w:rsidRPr="00C5078A">
          <w:rPr>
            <w:rStyle w:val="Hyperlink"/>
            <w:rFonts w:eastAsiaTheme="minorEastAsia"/>
            <w:color w:val="467886"/>
            <w:u w:val="none"/>
          </w:rPr>
          <w:t>here.</w:t>
        </w:r>
      </w:hyperlink>
      <w:r w:rsidRPr="00C5078A">
        <w:rPr>
          <w:rFonts w:eastAsiaTheme="minorEastAsia"/>
          <w:color w:val="000000" w:themeColor="text1"/>
        </w:rPr>
        <w:t xml:space="preserve">  </w:t>
      </w:r>
    </w:p>
    <w:p w14:paraId="24D19374" w14:textId="7A87B822"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 xml:space="preserve"> </w:t>
      </w:r>
    </w:p>
    <w:p w14:paraId="1FE72A04" w14:textId="452D7F95" w:rsidR="00295AB3" w:rsidRPr="00C5078A" w:rsidRDefault="03D81EE4" w:rsidP="00295AB3">
      <w:r w:rsidRPr="00C5078A">
        <w:rPr>
          <w:b/>
        </w:rPr>
        <w:t>CGFA FY 26 Revenue Estimate</w:t>
      </w:r>
      <w:r w:rsidRPr="00C5078A">
        <w:t>: Also rolled out this month was CGFA’s FY 2026 General Funds revenue projection, estimating total revenues of $54.224 billion -- a $610 million bump up from what CGFA offered in its revised FY 2025 forecast (which was $53.614 billion). Removing the estimated $65 million in non-base sources in FY 2025, the Commission expects base revenues to see a slightly higher gain of $675 million in FY 2026.</w:t>
      </w:r>
    </w:p>
    <w:p w14:paraId="1E44EFC5" w14:textId="505E1E1C" w:rsidR="03D81EE4" w:rsidRPr="00C5078A" w:rsidRDefault="03D81EE4" w:rsidP="00295AB3">
      <w:r w:rsidRPr="00C5078A">
        <w:t xml:space="preserve">The following factored </w:t>
      </w:r>
      <w:proofErr w:type="gramStart"/>
      <w:r w:rsidRPr="00C5078A">
        <w:t>into</w:t>
      </w:r>
      <w:proofErr w:type="gramEnd"/>
      <w:r w:rsidRPr="00C5078A">
        <w:t xml:space="preserve"> CGFA’s projections:</w:t>
      </w:r>
      <w:r w:rsidRPr="00C5078A">
        <w:rPr>
          <w:rFonts w:eastAsia="Aptos" w:cs="Aptos"/>
        </w:rPr>
        <w:t xml:space="preserve"> </w:t>
      </w:r>
    </w:p>
    <w:p w14:paraId="71F36BCC" w14:textId="041CE6F2"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Employment growth with higher wages should boost Personal Income Tax revenues by $521 million (+1.9%) in FY 2026, primarily due to $500 million fewer "true-up" receipts than in FY 2025. </w:t>
      </w:r>
    </w:p>
    <w:p w14:paraId="4C905CF5" w14:textId="2E6AC90F"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Corporate Income Tax is expected to rise by $58 million in FY 2026, thanks to fewer reallocated business tax receipts. </w:t>
      </w:r>
    </w:p>
    <w:p w14:paraId="623A517A" w14:textId="775A2D2D"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Sales tax revenue growth will improve slightly over FY 2025 but with more diverted to the Road Fund, resulting in an overall net decrease of $85 million. </w:t>
      </w:r>
    </w:p>
    <w:p w14:paraId="2E419AB5" w14:textId="2700B529"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Other State sources are projected to decline by $120 million -- a downturn pinned on lower interest rates, increased Corporate Franchise Tax exemptions, and reduced Insurance, Public Utility, and Cigarette taxes, offset partially by Estate Tax and other sources. </w:t>
      </w:r>
    </w:p>
    <w:p w14:paraId="165D2AB0" w14:textId="07DB0ED8"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Transfers In are expected to increase by $128 million, mainly from higher Sports Wagering taxes and new casino developments. </w:t>
      </w:r>
    </w:p>
    <w:p w14:paraId="3E60A9DA" w14:textId="233DE64E"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Federal Sources estimate shows a $173 million growth based on anticipated federal matching spending. </w:t>
      </w:r>
    </w:p>
    <w:p w14:paraId="6A0BBAE2" w14:textId="075FF63B" w:rsidR="03D81EE4" w:rsidRPr="00C5078A" w:rsidRDefault="03D81EE4" w:rsidP="00295AB3">
      <w:pPr>
        <w:pStyle w:val="ListParagraph"/>
        <w:numPr>
          <w:ilvl w:val="0"/>
          <w:numId w:val="7"/>
        </w:numPr>
        <w:spacing w:after="0"/>
        <w:rPr>
          <w:rFonts w:eastAsiaTheme="minorEastAsia"/>
        </w:rPr>
      </w:pPr>
      <w:r w:rsidRPr="00C5078A">
        <w:rPr>
          <w:rFonts w:eastAsiaTheme="minorEastAsia"/>
        </w:rPr>
        <w:t xml:space="preserve">No "one-time revenues” are included in the FY 2026 forecast. </w:t>
      </w:r>
    </w:p>
    <w:p w14:paraId="4C5020FD" w14:textId="21E50F79" w:rsidR="03D81EE4" w:rsidRPr="00C5078A" w:rsidRDefault="03D81EE4" w:rsidP="03D81EE4">
      <w:pPr>
        <w:spacing w:after="0"/>
        <w:ind w:left="1080"/>
        <w:rPr>
          <w:rFonts w:eastAsiaTheme="minorEastAsia"/>
          <w:color w:val="000000" w:themeColor="text1"/>
        </w:rPr>
      </w:pPr>
      <w:r w:rsidRPr="00C5078A">
        <w:rPr>
          <w:rFonts w:eastAsiaTheme="minorEastAsia"/>
          <w:color w:val="000000" w:themeColor="text1"/>
        </w:rPr>
        <w:t xml:space="preserve"> </w:t>
      </w:r>
    </w:p>
    <w:p w14:paraId="124F2FB0" w14:textId="2598296D"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Again, CGFA's revenue projections for next fiscal year differ from GOMB’s. According to GOMB, $55.453 billion in General Funds revenue is anticipated, while CGFA is projecting $54.224 billion in this category (a $1.229 billion</w:t>
      </w:r>
      <w:r w:rsidR="00BD2CE6" w:rsidRPr="00C5078A">
        <w:rPr>
          <w:rFonts w:eastAsiaTheme="minorEastAsia"/>
          <w:color w:val="000000" w:themeColor="text1"/>
        </w:rPr>
        <w:t xml:space="preserve"> </w:t>
      </w:r>
      <w:r w:rsidRPr="00C5078A">
        <w:rPr>
          <w:rFonts w:eastAsiaTheme="minorEastAsia"/>
          <w:color w:val="000000" w:themeColor="text1"/>
        </w:rPr>
        <w:t xml:space="preserve">difference). Accounting for the variance: CGFA’s estimate is based on current law, while GOMB's projection includes some $492 million in net revenue adjustments that would require changes to State law. </w:t>
      </w:r>
    </w:p>
    <w:p w14:paraId="66185154" w14:textId="7B8A0F29" w:rsidR="03D81EE4" w:rsidRPr="00C5078A" w:rsidRDefault="03D81EE4" w:rsidP="03D81EE4">
      <w:pPr>
        <w:spacing w:after="0"/>
        <w:rPr>
          <w:rFonts w:eastAsiaTheme="minorEastAsia"/>
          <w:color w:val="000000" w:themeColor="text1"/>
        </w:rPr>
      </w:pPr>
      <w:r w:rsidRPr="00C5078A">
        <w:rPr>
          <w:rFonts w:eastAsiaTheme="minorEastAsia"/>
          <w:color w:val="000000" w:themeColor="text1"/>
        </w:rPr>
        <w:t xml:space="preserve"> </w:t>
      </w:r>
    </w:p>
    <w:p w14:paraId="0C97E1E7" w14:textId="2668F621" w:rsidR="03D81EE4" w:rsidRPr="00C5078A" w:rsidRDefault="03D81EE4" w:rsidP="00B15C85">
      <w:pPr>
        <w:pStyle w:val="ListParagraph"/>
        <w:numPr>
          <w:ilvl w:val="0"/>
          <w:numId w:val="8"/>
        </w:numPr>
        <w:spacing w:after="0"/>
        <w:rPr>
          <w:rFonts w:eastAsiaTheme="minorEastAsia"/>
        </w:rPr>
      </w:pPr>
      <w:r w:rsidRPr="00C5078A">
        <w:rPr>
          <w:rFonts w:eastAsiaTheme="minorEastAsia"/>
        </w:rPr>
        <w:t xml:space="preserve">The primary discrepancies between the two agencies’ estimates lie in the "big three" revenue sources, with CGFA consistently taking a more conservative </w:t>
      </w:r>
      <w:r w:rsidRPr="00C5078A">
        <w:rPr>
          <w:rFonts w:eastAsiaTheme="minorEastAsia"/>
        </w:rPr>
        <w:lastRenderedPageBreak/>
        <w:t xml:space="preserve">stance. For FY2026, CGFA is projecting Personal Income Tax at $414 million less than GOMB, while also estimating Corporate Income Tax at $370 million below GOMB and placing expected Sales Tax revenue at $187 million lower than GOMB’s. Among the economic uncertainties being factored into the estimates are potential federal changes, possible tariffs, and the volatile geopolitical climate. </w:t>
      </w:r>
    </w:p>
    <w:p w14:paraId="7E82879C" w14:textId="4BB7E536" w:rsidR="03D81EE4" w:rsidRPr="00C5078A" w:rsidRDefault="03D81EE4" w:rsidP="00B15C85">
      <w:pPr>
        <w:pStyle w:val="ListParagraph"/>
        <w:numPr>
          <w:ilvl w:val="0"/>
          <w:numId w:val="8"/>
        </w:numPr>
        <w:spacing w:after="0"/>
        <w:rPr>
          <w:rFonts w:eastAsiaTheme="minorEastAsia"/>
        </w:rPr>
      </w:pPr>
      <w:r w:rsidRPr="00C5078A">
        <w:rPr>
          <w:rFonts w:eastAsiaTheme="minorEastAsia"/>
        </w:rPr>
        <w:t xml:space="preserve">Conversely, CGFA demonstrates slightly higher optimism in its outlook for All Other State Sources ($195 million higher) and Transfers In ($39 million higher). The Federal Sources estimate is adopted </w:t>
      </w:r>
      <w:bookmarkStart w:id="2" w:name="_Int_l0n8JJGF"/>
      <w:r w:rsidRPr="00C5078A">
        <w:rPr>
          <w:rFonts w:eastAsiaTheme="minorEastAsia"/>
        </w:rPr>
        <w:t>from</w:t>
      </w:r>
      <w:bookmarkEnd w:id="2"/>
      <w:r w:rsidRPr="00C5078A">
        <w:rPr>
          <w:rFonts w:eastAsiaTheme="minorEastAsia"/>
        </w:rPr>
        <w:t xml:space="preserve"> GOMB due to its dependency on anticipated spending. </w:t>
      </w:r>
    </w:p>
    <w:p w14:paraId="0BD409F8" w14:textId="77777777" w:rsidR="00B15C85" w:rsidRPr="00C5078A" w:rsidRDefault="00B15C85" w:rsidP="03D81EE4">
      <w:pPr>
        <w:spacing w:after="0"/>
        <w:rPr>
          <w:rFonts w:eastAsiaTheme="minorEastAsia"/>
          <w:color w:val="000000" w:themeColor="text1"/>
        </w:rPr>
      </w:pPr>
    </w:p>
    <w:p w14:paraId="7328A6B4" w14:textId="77777777" w:rsidR="002A0B57" w:rsidRPr="00C5078A" w:rsidRDefault="03D81EE4" w:rsidP="002A0B57">
      <w:pPr>
        <w:rPr>
          <w:rFonts w:eastAsiaTheme="minorEastAsia"/>
          <w:color w:val="000000" w:themeColor="text1"/>
        </w:rPr>
      </w:pPr>
      <w:r w:rsidRPr="00C5078A">
        <w:rPr>
          <w:rFonts w:eastAsiaTheme="minorEastAsia"/>
          <w:color w:val="000000" w:themeColor="text1"/>
        </w:rPr>
        <w:t xml:space="preserve">Read more </w:t>
      </w:r>
      <w:hyperlink r:id="rId23">
        <w:r w:rsidRPr="00C5078A">
          <w:rPr>
            <w:rStyle w:val="Hyperlink"/>
            <w:rFonts w:eastAsiaTheme="minorEastAsia"/>
            <w:color w:val="467886"/>
            <w:u w:val="none"/>
          </w:rPr>
          <w:t>here</w:t>
        </w:r>
      </w:hyperlink>
      <w:r w:rsidRPr="00C5078A">
        <w:rPr>
          <w:rFonts w:eastAsiaTheme="minorEastAsia"/>
          <w:color w:val="000000" w:themeColor="text1"/>
        </w:rPr>
        <w:t xml:space="preserve"> and </w:t>
      </w:r>
      <w:hyperlink r:id="rId24">
        <w:r w:rsidRPr="00C5078A">
          <w:rPr>
            <w:rStyle w:val="Hyperlink"/>
            <w:rFonts w:eastAsiaTheme="minorEastAsia"/>
            <w:color w:val="467886"/>
            <w:u w:val="none"/>
          </w:rPr>
          <w:t>here.</w:t>
        </w:r>
      </w:hyperlink>
      <w:r w:rsidRPr="00C5078A">
        <w:rPr>
          <w:rFonts w:eastAsiaTheme="minorEastAsia"/>
          <w:color w:val="000000" w:themeColor="text1"/>
        </w:rPr>
        <w:t xml:space="preserve">  </w:t>
      </w:r>
    </w:p>
    <w:p w14:paraId="52D0F1A6" w14:textId="79902AAB" w:rsidR="004D4330" w:rsidRPr="00C5078A" w:rsidRDefault="03D81EE4" w:rsidP="002A0B57">
      <w:pPr>
        <w:rPr>
          <w:rFonts w:eastAsiaTheme="minorEastAsia"/>
          <w:color w:val="000000" w:themeColor="text1"/>
        </w:rPr>
      </w:pPr>
      <w:r w:rsidRPr="00C5078A">
        <w:rPr>
          <w:rFonts w:eastAsia="Aptos" w:cs="Aptos"/>
          <w:b/>
          <w:bCs/>
        </w:rPr>
        <w:t xml:space="preserve">CGFA February Report: </w:t>
      </w:r>
      <w:r w:rsidRPr="00C5078A">
        <w:rPr>
          <w:rFonts w:eastAsia="Aptos" w:cs="Aptos"/>
        </w:rPr>
        <w:t>The Commission on Government Forecasting and Accountability also delved into February</w:t>
      </w:r>
      <w:r w:rsidRPr="00C5078A">
        <w:t xml:space="preserve"> revenue receipts.  The State's General Funds in February dipped $152 million (4.4%) below those seen a year ago. And even though January 2025 and January 2024 revenues closely reflected each other, this February's decline nearly matched the year-to-date difference of $153 million, with two-thirds of the fiscal year complete. This was partly due to having one less </w:t>
      </w:r>
      <w:proofErr w:type="gramStart"/>
      <w:r w:rsidRPr="00C5078A">
        <w:t>receipting</w:t>
      </w:r>
      <w:proofErr w:type="gramEnd"/>
      <w:r w:rsidRPr="00C5078A">
        <w:t xml:space="preserve"> day compared to last February.</w:t>
      </w:r>
    </w:p>
    <w:p w14:paraId="11C3F56A" w14:textId="34D35E86" w:rsidR="03D81EE4" w:rsidRPr="00C5078A" w:rsidRDefault="03D81EE4" w:rsidP="004D4330">
      <w:pPr>
        <w:rPr>
          <w:rFonts w:eastAsiaTheme="minorEastAsia"/>
        </w:rPr>
      </w:pPr>
      <w:r w:rsidRPr="00C5078A">
        <w:rPr>
          <w:rFonts w:eastAsia="Aptos" w:cs="Aptos"/>
        </w:rPr>
        <w:t xml:space="preserve">Stagnant Personal Income Tax receipts helped drive the decline. Specifically, this category was $4 million lower on a gross basis and $3 million </w:t>
      </w:r>
      <w:r w:rsidRPr="00C5078A">
        <w:t>lower net of non-General Fund distributions. Corporate Income Tax receipts fell an even steeper $46 million ($37 million net).</w:t>
      </w:r>
      <w:r w:rsidRPr="00C5078A">
        <w:rPr>
          <w:rFonts w:eastAsia="Aptos" w:cs="Aptos"/>
        </w:rPr>
        <w:t xml:space="preserve"> </w:t>
      </w:r>
    </w:p>
    <w:p w14:paraId="4BE8D651" w14:textId="0039CCF9" w:rsidR="03D81EE4" w:rsidRPr="00C5078A" w:rsidRDefault="03D81EE4" w:rsidP="004D4330">
      <w:r w:rsidRPr="00C5078A">
        <w:rPr>
          <w:rFonts w:eastAsia="Aptos" w:cs="Aptos"/>
        </w:rPr>
        <w:t xml:space="preserve">However, Sales Taxes helped deliver a bright spot. Receipts in this area reflected a $24 million (2.9%) increase, or $12 million (1.7%) on a net basis. This offset declines in other revenue sources -- like the $14 million drop in Corporate Franchise Tax. </w:t>
      </w:r>
    </w:p>
    <w:p w14:paraId="6D937445" w14:textId="4B488AA9" w:rsidR="03D81EE4" w:rsidRPr="00C5078A" w:rsidRDefault="03D81EE4" w:rsidP="004D4330">
      <w:r w:rsidRPr="00C5078A">
        <w:rPr>
          <w:rFonts w:eastAsia="Aptos" w:cs="Aptos"/>
        </w:rPr>
        <w:t xml:space="preserve">Transfers In fell $72 million, </w:t>
      </w:r>
      <w:r w:rsidRPr="00C5078A">
        <w:t>largely due to a $90 million decline in Other Transfers that was not repeated this month. Softening the blow of this were increases in Sports Wagering, Lottery, and Cannabis Transfers.</w:t>
      </w:r>
      <w:r w:rsidRPr="00C5078A">
        <w:rPr>
          <w:rFonts w:eastAsia="Aptos" w:cs="Aptos"/>
        </w:rPr>
        <w:t xml:space="preserve"> </w:t>
      </w:r>
    </w:p>
    <w:p w14:paraId="4934A9ED" w14:textId="381A2891" w:rsidR="03D81EE4" w:rsidRPr="00C5078A" w:rsidRDefault="03D81EE4" w:rsidP="004D4330">
      <w:r w:rsidRPr="00C5078A">
        <w:rPr>
          <w:rFonts w:eastAsia="Aptos" w:cs="Aptos"/>
        </w:rPr>
        <w:t xml:space="preserve">Finally, Federal </w:t>
      </w:r>
      <w:r w:rsidRPr="00C5078A">
        <w:t xml:space="preserve">Sources revenue fell $73 million after growing $139 million the prior month.  Read more </w:t>
      </w:r>
      <w:hyperlink r:id="rId25">
        <w:r w:rsidRPr="00C5078A">
          <w:rPr>
            <w:rStyle w:val="Hyperlink"/>
            <w:rFonts w:eastAsia="Aptos" w:cs="Aptos"/>
            <w:color w:val="467886"/>
            <w:u w:val="none"/>
          </w:rPr>
          <w:t>here.</w:t>
        </w:r>
      </w:hyperlink>
      <w:r w:rsidRPr="00C5078A">
        <w:rPr>
          <w:rFonts w:eastAsia="Aptos" w:cs="Aptos"/>
        </w:rPr>
        <w:t xml:space="preserve">  </w:t>
      </w:r>
    </w:p>
    <w:p w14:paraId="111626C5" w14:textId="535B2FD8" w:rsidR="004D4330" w:rsidRPr="00C5078A" w:rsidRDefault="03D81EE4" w:rsidP="004D4330">
      <w:r w:rsidRPr="00C5078A">
        <w:rPr>
          <w:rFonts w:eastAsia="Aptos" w:cs="Aptos"/>
          <w:b/>
          <w:bCs/>
        </w:rPr>
        <w:t>State of Illinois Economic Forecast</w:t>
      </w:r>
      <w:r w:rsidRPr="00C5078A">
        <w:rPr>
          <w:rFonts w:eastAsia="Aptos" w:cs="Aptos"/>
        </w:rPr>
        <w:t xml:space="preserve">: CGFA had Moody’s prepare an economic report, which noted that </w:t>
      </w:r>
      <w:r w:rsidRPr="00C5078A">
        <w:t>the moderate strengthening in 2024 of Illinois’s economy allowed the state's job market to surpass its pre-pandemic employment levels.</w:t>
      </w:r>
    </w:p>
    <w:p w14:paraId="7319E6D7" w14:textId="77777777" w:rsidR="004D4330" w:rsidRPr="00C5078A" w:rsidRDefault="03D81EE4" w:rsidP="004D4330">
      <w:r w:rsidRPr="00C5078A">
        <w:rPr>
          <w:rFonts w:eastAsia="Aptos" w:cs="Aptos"/>
        </w:rPr>
        <w:lastRenderedPageBreak/>
        <w:t xml:space="preserve">However, the pace of </w:t>
      </w:r>
      <w:proofErr w:type="gramStart"/>
      <w:r w:rsidRPr="00C5078A">
        <w:rPr>
          <w:rFonts w:eastAsia="Aptos" w:cs="Aptos"/>
        </w:rPr>
        <w:t>job</w:t>
      </w:r>
      <w:proofErr w:type="gramEnd"/>
      <w:r w:rsidRPr="00C5078A">
        <w:rPr>
          <w:rFonts w:eastAsia="Aptos" w:cs="Aptos"/>
        </w:rPr>
        <w:t xml:space="preserve"> and income growth has slowed, trailing the below-average performance seen in the Midwest region.  Job creation has also narrowed across industries. Healthcare, government, and leisure/hospitality have been driving growth, while sluggishness is seen in professional/business services, finance, manufacturing, and transportation/warehousing. </w:t>
      </w:r>
    </w:p>
    <w:p w14:paraId="75A829E3" w14:textId="77777777" w:rsidR="004D4330" w:rsidRPr="00C5078A" w:rsidRDefault="03D81EE4" w:rsidP="004D4330">
      <w:r w:rsidRPr="00C5078A">
        <w:rPr>
          <w:rFonts w:eastAsia="Aptos" w:cs="Aptos"/>
        </w:rPr>
        <w:t xml:space="preserve">Illinois' unemployment rate averaged 5.3% in Q4 -- higher than the 4.1% regional and national rates -- though partly due to an expanding labor force. The Moody’s report projects that in 2025, Illinois will underperform the Midwest and U.S., with slower growth in gross state product, employment, and income. And while turbulence in key industries like professional services, finance, and manufacturing is expected to subside (and allow job growth to match the prior year's pace), labor force growth will diminish. </w:t>
      </w:r>
    </w:p>
    <w:p w14:paraId="328D722F" w14:textId="36CBD79E" w:rsidR="005B5E2F" w:rsidRPr="005F6C5D" w:rsidRDefault="03D81EE4" w:rsidP="005F6C5D">
      <w:r w:rsidRPr="00C5078A">
        <w:rPr>
          <w:rFonts w:eastAsia="Aptos" w:cs="Aptos"/>
        </w:rPr>
        <w:t xml:space="preserve">Uncertainty </w:t>
      </w:r>
      <w:r w:rsidRPr="00C5078A">
        <w:t xml:space="preserve">remains, with risks from potential Federal Reserve missteps and policy changes under President Trump. Taking a long-term view, Moody’s anticipates Illinois will trail the Midwest and national averages in job and income gains, held back by below-average population trends and persistent fiscal challenges (like pension obligations and a shrinking tax base). Continued out-migration will further weigh on employment and income growth in the state.  Read the full report </w:t>
      </w:r>
      <w:hyperlink r:id="rId26">
        <w:r w:rsidRPr="00C5078A">
          <w:rPr>
            <w:rStyle w:val="Hyperlink"/>
            <w:rFonts w:eastAsia="Aptos" w:cs="Aptos"/>
            <w:color w:val="467886"/>
          </w:rPr>
          <w:t>here</w:t>
        </w:r>
        <w:r w:rsidRPr="00C5078A">
          <w:rPr>
            <w:rStyle w:val="Hyperlink"/>
            <w:rFonts w:eastAsia="Aptos" w:cs="Aptos"/>
            <w:color w:val="467886"/>
            <w:u w:val="none"/>
          </w:rPr>
          <w:t>.</w:t>
        </w:r>
      </w:hyperlink>
      <w:r w:rsidRPr="00C5078A">
        <w:rPr>
          <w:rFonts w:eastAsia="Aptos" w:cs="Aptos"/>
        </w:rPr>
        <w:t xml:space="preserve">  </w:t>
      </w:r>
    </w:p>
    <w:p w14:paraId="4B0BA3AE" w14:textId="4DB92C06" w:rsidR="005B5E2F" w:rsidRPr="00C5078A" w:rsidRDefault="005B5E2F" w:rsidP="03D81EE4">
      <w:pPr>
        <w:spacing w:after="0"/>
        <w:rPr>
          <w:rFonts w:ascii="Aptos" w:eastAsia="Aptos" w:hAnsi="Aptos" w:cs="Aptos"/>
          <w:color w:val="000000" w:themeColor="text1"/>
        </w:rPr>
      </w:pPr>
      <w:r w:rsidRPr="00C5078A">
        <w:rPr>
          <w:rFonts w:ascii="Aptos" w:eastAsia="Aptos" w:hAnsi="Aptos" w:cs="Aptos"/>
          <w:b/>
          <w:bCs/>
          <w:color w:val="000000" w:themeColor="text1"/>
        </w:rPr>
        <w:t>Chicago Mayor Brandon Johnson Testifies Before Congress</w:t>
      </w:r>
      <w:r w:rsidRPr="00C5078A">
        <w:rPr>
          <w:rFonts w:ascii="Aptos" w:eastAsia="Aptos" w:hAnsi="Aptos" w:cs="Aptos"/>
          <w:color w:val="000000" w:themeColor="text1"/>
        </w:rPr>
        <w:t xml:space="preserve">: </w:t>
      </w:r>
      <w:r w:rsidR="0D57B558" w:rsidRPr="00C5078A">
        <w:rPr>
          <w:rFonts w:ascii="Aptos" w:eastAsia="Aptos" w:hAnsi="Aptos" w:cs="Aptos"/>
          <w:color w:val="000000" w:themeColor="text1"/>
        </w:rPr>
        <w:t>A</w:t>
      </w:r>
      <w:r w:rsidR="1D559078" w:rsidRPr="00C5078A">
        <w:rPr>
          <w:rFonts w:ascii="Aptos" w:eastAsia="Aptos" w:hAnsi="Aptos" w:cs="Aptos"/>
          <w:color w:val="000000" w:themeColor="text1"/>
        </w:rPr>
        <w:t xml:space="preserve"> six-</w:t>
      </w:r>
      <w:r w:rsidR="40017089" w:rsidRPr="00C5078A">
        <w:rPr>
          <w:rFonts w:ascii="Aptos" w:eastAsia="Aptos" w:hAnsi="Aptos" w:cs="Aptos"/>
          <w:color w:val="000000" w:themeColor="text1"/>
        </w:rPr>
        <w:t xml:space="preserve">hour Congressional </w:t>
      </w:r>
      <w:r w:rsidR="2276E301" w:rsidRPr="00C5078A">
        <w:rPr>
          <w:rFonts w:ascii="Aptos" w:eastAsia="Aptos" w:hAnsi="Aptos" w:cs="Aptos"/>
          <w:color w:val="000000" w:themeColor="text1"/>
        </w:rPr>
        <w:t xml:space="preserve">hearing </w:t>
      </w:r>
      <w:r w:rsidR="1F3643EB" w:rsidRPr="00C5078A">
        <w:rPr>
          <w:rFonts w:ascii="Aptos" w:eastAsia="Aptos" w:hAnsi="Aptos" w:cs="Aptos"/>
          <w:color w:val="000000" w:themeColor="text1"/>
        </w:rPr>
        <w:t>was held on</w:t>
      </w:r>
      <w:r w:rsidR="2276E301" w:rsidRPr="00C5078A">
        <w:rPr>
          <w:rFonts w:ascii="Aptos" w:eastAsia="Aptos" w:hAnsi="Aptos" w:cs="Aptos"/>
          <w:color w:val="000000" w:themeColor="text1"/>
        </w:rPr>
        <w:t xml:space="preserve"> </w:t>
      </w:r>
      <w:r w:rsidR="4DD6DBB1" w:rsidRPr="00C5078A">
        <w:rPr>
          <w:rFonts w:ascii="Aptos" w:eastAsia="Aptos" w:hAnsi="Aptos" w:cs="Aptos"/>
          <w:color w:val="000000" w:themeColor="text1"/>
        </w:rPr>
        <w:t xml:space="preserve">Wednesday </w:t>
      </w:r>
      <w:r w:rsidR="30342353" w:rsidRPr="00C5078A">
        <w:rPr>
          <w:rFonts w:ascii="Aptos" w:eastAsia="Aptos" w:hAnsi="Aptos" w:cs="Aptos"/>
          <w:color w:val="000000" w:themeColor="text1"/>
        </w:rPr>
        <w:t xml:space="preserve">on </w:t>
      </w:r>
      <w:r w:rsidR="7F84D2DF" w:rsidRPr="00C5078A">
        <w:rPr>
          <w:rFonts w:ascii="Aptos" w:eastAsia="Aptos" w:hAnsi="Aptos" w:cs="Aptos"/>
          <w:color w:val="000000" w:themeColor="text1"/>
        </w:rPr>
        <w:t>cities’</w:t>
      </w:r>
      <w:r w:rsidR="22FECD3A" w:rsidRPr="00C5078A">
        <w:rPr>
          <w:rFonts w:ascii="Aptos" w:eastAsia="Aptos" w:hAnsi="Aptos" w:cs="Aptos"/>
          <w:color w:val="000000" w:themeColor="text1"/>
        </w:rPr>
        <w:t xml:space="preserve"> sanctuary status and immigration enforcement.</w:t>
      </w:r>
      <w:r w:rsidR="4BBE9643" w:rsidRPr="00C5078A">
        <w:rPr>
          <w:rFonts w:ascii="Aptos" w:eastAsia="Aptos" w:hAnsi="Aptos" w:cs="Aptos"/>
          <w:color w:val="000000" w:themeColor="text1"/>
        </w:rPr>
        <w:t xml:space="preserve"> </w:t>
      </w:r>
      <w:r w:rsidR="024E64EA" w:rsidRPr="00C5078A">
        <w:rPr>
          <w:rFonts w:ascii="Aptos" w:eastAsia="Aptos" w:hAnsi="Aptos" w:cs="Aptos"/>
          <w:color w:val="000000" w:themeColor="text1"/>
        </w:rPr>
        <w:t xml:space="preserve">Appearing before the Congressional </w:t>
      </w:r>
      <w:r w:rsidR="002001C6" w:rsidRPr="00C5078A">
        <w:rPr>
          <w:rFonts w:ascii="Aptos" w:eastAsia="Aptos" w:hAnsi="Aptos" w:cs="Aptos"/>
          <w:color w:val="000000" w:themeColor="text1"/>
        </w:rPr>
        <w:t>committee</w:t>
      </w:r>
      <w:r w:rsidR="024E64EA" w:rsidRPr="00C5078A">
        <w:rPr>
          <w:rFonts w:ascii="Aptos" w:eastAsia="Aptos" w:hAnsi="Aptos" w:cs="Aptos"/>
          <w:color w:val="000000" w:themeColor="text1"/>
        </w:rPr>
        <w:t xml:space="preserve"> were Chicago Mayor Brandon Johnson, along with New York Mayor Eric Adams and Denver Mayor Mike Johnston</w:t>
      </w:r>
      <w:r w:rsidR="7F486587" w:rsidRPr="00C5078A">
        <w:rPr>
          <w:rFonts w:ascii="Aptos" w:eastAsia="Aptos" w:hAnsi="Aptos" w:cs="Aptos"/>
          <w:color w:val="000000" w:themeColor="text1"/>
        </w:rPr>
        <w:t>.</w:t>
      </w:r>
      <w:r w:rsidR="47F7F2D0" w:rsidRPr="00C5078A">
        <w:rPr>
          <w:rFonts w:ascii="Aptos" w:eastAsia="Aptos" w:hAnsi="Aptos" w:cs="Aptos"/>
          <w:color w:val="000000" w:themeColor="text1"/>
        </w:rPr>
        <w:t xml:space="preserve"> </w:t>
      </w:r>
      <w:r w:rsidR="4486E30D" w:rsidRPr="00C5078A">
        <w:rPr>
          <w:rFonts w:ascii="Aptos" w:eastAsia="Aptos" w:hAnsi="Aptos" w:cs="Aptos"/>
          <w:color w:val="000000" w:themeColor="text1"/>
        </w:rPr>
        <w:t xml:space="preserve">Read more </w:t>
      </w:r>
      <w:hyperlink r:id="rId27">
        <w:r w:rsidR="4486E30D" w:rsidRPr="00C5078A">
          <w:rPr>
            <w:rStyle w:val="Hyperlink"/>
            <w:rFonts w:ascii="Aptos" w:eastAsia="Aptos" w:hAnsi="Aptos" w:cs="Aptos"/>
          </w:rPr>
          <w:t>here.</w:t>
        </w:r>
      </w:hyperlink>
      <w:r w:rsidR="4486E30D" w:rsidRPr="00C5078A">
        <w:rPr>
          <w:rFonts w:ascii="Aptos" w:eastAsia="Aptos" w:hAnsi="Aptos" w:cs="Aptos"/>
          <w:color w:val="000000" w:themeColor="text1"/>
        </w:rPr>
        <w:t xml:space="preserve"> </w:t>
      </w:r>
    </w:p>
    <w:p w14:paraId="053079D9" w14:textId="255F9342" w:rsidR="51401D0C" w:rsidRPr="00C5078A" w:rsidRDefault="51401D0C" w:rsidP="51401D0C">
      <w:pPr>
        <w:spacing w:after="0"/>
        <w:rPr>
          <w:rFonts w:ascii="Aptos" w:eastAsia="Aptos" w:hAnsi="Aptos" w:cs="Aptos"/>
          <w:color w:val="000000" w:themeColor="text1"/>
        </w:rPr>
      </w:pPr>
    </w:p>
    <w:p w14:paraId="6198814A" w14:textId="24AB5CB3" w:rsidR="005B5E2F" w:rsidRDefault="005B5E2F" w:rsidP="1D6C6208">
      <w:pPr>
        <w:spacing w:after="0"/>
        <w:rPr>
          <w:rFonts w:ascii="Aptos" w:eastAsia="Aptos" w:hAnsi="Aptos" w:cs="Aptos"/>
          <w:color w:val="000000" w:themeColor="text1"/>
        </w:rPr>
      </w:pPr>
    </w:p>
    <w:p w14:paraId="4BF1DE86" w14:textId="667A036F" w:rsidR="005B5E2F" w:rsidRDefault="005B5E2F" w:rsidP="1D6C6208">
      <w:pPr>
        <w:spacing w:after="0"/>
        <w:rPr>
          <w:rFonts w:ascii="Aptos" w:eastAsia="Aptos" w:hAnsi="Aptos" w:cs="Aptos"/>
          <w:color w:val="000000" w:themeColor="text1"/>
        </w:rPr>
      </w:pPr>
    </w:p>
    <w:p w14:paraId="4DCC5587" w14:textId="074A2E02" w:rsidR="005B5E2F" w:rsidRDefault="005B5E2F" w:rsidP="1D6C6208">
      <w:pPr>
        <w:spacing w:after="0"/>
        <w:rPr>
          <w:rFonts w:ascii="Aptos" w:eastAsia="Aptos" w:hAnsi="Aptos" w:cs="Aptos"/>
          <w:color w:val="000000" w:themeColor="text1"/>
        </w:rPr>
      </w:pPr>
    </w:p>
    <w:p w14:paraId="62708A0F" w14:textId="333967B1" w:rsidR="005B5E2F" w:rsidRDefault="005B5E2F" w:rsidP="1D6C6208">
      <w:pPr>
        <w:spacing w:after="0"/>
        <w:rPr>
          <w:rFonts w:ascii="Aptos" w:eastAsia="Aptos" w:hAnsi="Aptos" w:cs="Aptos"/>
          <w:color w:val="000000" w:themeColor="text1"/>
        </w:rPr>
      </w:pPr>
    </w:p>
    <w:p w14:paraId="2E41B96F" w14:textId="66E532C2" w:rsidR="005B5E2F" w:rsidRDefault="005B5E2F" w:rsidP="1D6C6208">
      <w:pPr>
        <w:spacing w:after="0"/>
        <w:rPr>
          <w:rFonts w:ascii="Aptos" w:eastAsia="Aptos" w:hAnsi="Aptos" w:cs="Aptos"/>
          <w:color w:val="000000" w:themeColor="text1"/>
        </w:rPr>
      </w:pPr>
    </w:p>
    <w:p w14:paraId="3738FBA6" w14:textId="0781C83B" w:rsidR="03D81EE4" w:rsidRDefault="03D81EE4" w:rsidP="03D81EE4">
      <w:pPr>
        <w:spacing w:after="0"/>
        <w:ind w:left="1080"/>
      </w:pPr>
      <w:r w:rsidRPr="03D81EE4">
        <w:rPr>
          <w:rFonts w:ascii="Calibri" w:eastAsia="Calibri" w:hAnsi="Calibri" w:cs="Calibri"/>
          <w:color w:val="000000" w:themeColor="text1"/>
        </w:rPr>
        <w:t xml:space="preserve"> </w:t>
      </w:r>
    </w:p>
    <w:p w14:paraId="5542866B" w14:textId="7F42A9E8" w:rsidR="03D81EE4" w:rsidRDefault="03D81EE4" w:rsidP="03D81EE4">
      <w:pPr>
        <w:spacing w:after="0"/>
        <w:rPr>
          <w:rFonts w:ascii="Calibri" w:eastAsia="Calibri" w:hAnsi="Calibri" w:cs="Calibri"/>
          <w:color w:val="000000" w:themeColor="text1"/>
        </w:rPr>
      </w:pPr>
    </w:p>
    <w:p w14:paraId="08003C5A" w14:textId="76F455C7" w:rsidR="00721946" w:rsidRPr="00C83EE5" w:rsidRDefault="00721946" w:rsidP="00721946"/>
    <w:sectPr w:rsidR="00721946" w:rsidRPr="00C83EE5">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35D7" w14:textId="77777777" w:rsidR="00114230" w:rsidRDefault="00114230" w:rsidP="00B67D33">
      <w:pPr>
        <w:spacing w:after="0" w:line="240" w:lineRule="auto"/>
      </w:pPr>
      <w:r>
        <w:separator/>
      </w:r>
    </w:p>
  </w:endnote>
  <w:endnote w:type="continuationSeparator" w:id="0">
    <w:p w14:paraId="1B208AB2" w14:textId="77777777" w:rsidR="00114230" w:rsidRDefault="00114230" w:rsidP="00B67D33">
      <w:pPr>
        <w:spacing w:after="0" w:line="240" w:lineRule="auto"/>
      </w:pPr>
      <w:r>
        <w:continuationSeparator/>
      </w:r>
    </w:p>
  </w:endnote>
  <w:endnote w:type="continuationNotice" w:id="1">
    <w:p w14:paraId="195C0D43" w14:textId="77777777" w:rsidR="00114230" w:rsidRDefault="00114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A8BAB" w14:paraId="0CF79036" w14:textId="77777777" w:rsidTr="04DA8BAB">
      <w:trPr>
        <w:trHeight w:val="300"/>
      </w:trPr>
      <w:tc>
        <w:tcPr>
          <w:tcW w:w="3120" w:type="dxa"/>
        </w:tcPr>
        <w:p w14:paraId="3DA96C91" w14:textId="4BF0C961" w:rsidR="04DA8BAB" w:rsidRDefault="04DA8BAB" w:rsidP="04DA8BAB">
          <w:pPr>
            <w:ind w:left="-115"/>
          </w:pPr>
        </w:p>
      </w:tc>
      <w:tc>
        <w:tcPr>
          <w:tcW w:w="3120" w:type="dxa"/>
        </w:tcPr>
        <w:p w14:paraId="59D88CF1" w14:textId="6038840B" w:rsidR="04DA8BAB" w:rsidRDefault="04DA8BAB" w:rsidP="04DA8BAB">
          <w:pPr>
            <w:jc w:val="center"/>
          </w:pPr>
        </w:p>
      </w:tc>
      <w:tc>
        <w:tcPr>
          <w:tcW w:w="3120" w:type="dxa"/>
        </w:tcPr>
        <w:p w14:paraId="396261B0" w14:textId="37E2D152" w:rsidR="04DA8BAB" w:rsidRDefault="04DA8BAB" w:rsidP="04DA8BAB">
          <w:pPr>
            <w:ind w:right="-115"/>
            <w:jc w:val="right"/>
          </w:pPr>
        </w:p>
      </w:tc>
    </w:tr>
  </w:tbl>
  <w:p w14:paraId="26AA5B83" w14:textId="652D8AEB" w:rsidR="00B67D33" w:rsidRDefault="00B67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B0BE" w14:textId="77777777" w:rsidR="00114230" w:rsidRDefault="00114230" w:rsidP="00B67D33">
      <w:pPr>
        <w:spacing w:after="0" w:line="240" w:lineRule="auto"/>
      </w:pPr>
      <w:r>
        <w:separator/>
      </w:r>
    </w:p>
  </w:footnote>
  <w:footnote w:type="continuationSeparator" w:id="0">
    <w:p w14:paraId="570A7B15" w14:textId="77777777" w:rsidR="00114230" w:rsidRDefault="00114230" w:rsidP="00B67D33">
      <w:pPr>
        <w:spacing w:after="0" w:line="240" w:lineRule="auto"/>
      </w:pPr>
      <w:r>
        <w:continuationSeparator/>
      </w:r>
    </w:p>
  </w:footnote>
  <w:footnote w:type="continuationNotice" w:id="1">
    <w:p w14:paraId="2C78393C" w14:textId="77777777" w:rsidR="00114230" w:rsidRDefault="001142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A8BAB" w14:paraId="560D3199" w14:textId="77777777" w:rsidTr="04DA8BAB">
      <w:trPr>
        <w:trHeight w:val="300"/>
      </w:trPr>
      <w:tc>
        <w:tcPr>
          <w:tcW w:w="3120" w:type="dxa"/>
        </w:tcPr>
        <w:p w14:paraId="09168591" w14:textId="7FE57E08" w:rsidR="04DA8BAB" w:rsidRDefault="04DA8BAB" w:rsidP="04DA8BAB">
          <w:pPr>
            <w:ind w:left="-115"/>
          </w:pPr>
        </w:p>
      </w:tc>
      <w:tc>
        <w:tcPr>
          <w:tcW w:w="3120" w:type="dxa"/>
        </w:tcPr>
        <w:p w14:paraId="4E95B960" w14:textId="35C9C801" w:rsidR="04DA8BAB" w:rsidRDefault="04DA8BAB" w:rsidP="04DA8BAB">
          <w:pPr>
            <w:jc w:val="center"/>
          </w:pPr>
        </w:p>
      </w:tc>
      <w:tc>
        <w:tcPr>
          <w:tcW w:w="3120" w:type="dxa"/>
        </w:tcPr>
        <w:p w14:paraId="1C1E6D11" w14:textId="45C143BF" w:rsidR="04DA8BAB" w:rsidRDefault="04DA8BAB" w:rsidP="04DA8BAB">
          <w:pPr>
            <w:ind w:right="-115"/>
            <w:jc w:val="right"/>
          </w:pPr>
        </w:p>
      </w:tc>
    </w:tr>
  </w:tbl>
  <w:p w14:paraId="76565056" w14:textId="12D72CE7" w:rsidR="00B67D33" w:rsidRDefault="00B67D3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0n8JJGF" int2:invalidationBookmarkName="" int2:hashCode="Cx6Vz9l3UZGnIk" int2:id="ACzu4hhs">
      <int2:state int2:value="Rejected" int2:type="AugLoop_Text_Critique"/>
    </int2:bookmark>
    <int2:bookmark int2:bookmarkName="_Int_fCDKvcoY" int2:invalidationBookmarkName="" int2:hashCode="picx9k/O9Gq/78" int2:id="B71gCYal">
      <int2:state int2:value="Rejected" int2:type="AugLoop_Text_Critique"/>
    </int2:bookmark>
    <int2:bookmark int2:bookmarkName="_Int_y5d5Hy1V" int2:invalidationBookmarkName="" int2:hashCode="IK51sFBdkvgsl0" int2:id="sFCU5gY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EFB"/>
    <w:multiLevelType w:val="hybridMultilevel"/>
    <w:tmpl w:val="8F38F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D65D4"/>
    <w:multiLevelType w:val="hybridMultilevel"/>
    <w:tmpl w:val="844C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312AC"/>
    <w:multiLevelType w:val="hybridMultilevel"/>
    <w:tmpl w:val="EA18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07A5B"/>
    <w:multiLevelType w:val="hybridMultilevel"/>
    <w:tmpl w:val="A8462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8D2C91"/>
    <w:multiLevelType w:val="hybridMultilevel"/>
    <w:tmpl w:val="ED9AB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06762A"/>
    <w:multiLevelType w:val="hybridMultilevel"/>
    <w:tmpl w:val="3A2E7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230668F"/>
    <w:multiLevelType w:val="hybridMultilevel"/>
    <w:tmpl w:val="E018A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B594EFD"/>
    <w:multiLevelType w:val="hybridMultilevel"/>
    <w:tmpl w:val="31B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003646">
    <w:abstractNumId w:val="7"/>
  </w:num>
  <w:num w:numId="2" w16cid:durableId="520123229">
    <w:abstractNumId w:val="3"/>
  </w:num>
  <w:num w:numId="3" w16cid:durableId="837890691">
    <w:abstractNumId w:val="0"/>
  </w:num>
  <w:num w:numId="4" w16cid:durableId="1094984209">
    <w:abstractNumId w:val="4"/>
  </w:num>
  <w:num w:numId="5" w16cid:durableId="1971746957">
    <w:abstractNumId w:val="2"/>
  </w:num>
  <w:num w:numId="6" w16cid:durableId="387727370">
    <w:abstractNumId w:val="1"/>
  </w:num>
  <w:num w:numId="7" w16cid:durableId="2009096053">
    <w:abstractNumId w:val="5"/>
  </w:num>
  <w:num w:numId="8" w16cid:durableId="413673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810"/>
    <w:rsid w:val="00000897"/>
    <w:rsid w:val="000014CE"/>
    <w:rsid w:val="000022DE"/>
    <w:rsid w:val="00005662"/>
    <w:rsid w:val="000074E6"/>
    <w:rsid w:val="00007B87"/>
    <w:rsid w:val="00011841"/>
    <w:rsid w:val="000125A3"/>
    <w:rsid w:val="00017902"/>
    <w:rsid w:val="00021BBA"/>
    <w:rsid w:val="00030833"/>
    <w:rsid w:val="00041C66"/>
    <w:rsid w:val="00042F6E"/>
    <w:rsid w:val="00045922"/>
    <w:rsid w:val="00046F4F"/>
    <w:rsid w:val="0005034E"/>
    <w:rsid w:val="00051B87"/>
    <w:rsid w:val="00051F80"/>
    <w:rsid w:val="000534DD"/>
    <w:rsid w:val="0006226F"/>
    <w:rsid w:val="000654F5"/>
    <w:rsid w:val="0006558B"/>
    <w:rsid w:val="00065849"/>
    <w:rsid w:val="000670FE"/>
    <w:rsid w:val="00072A18"/>
    <w:rsid w:val="000731F0"/>
    <w:rsid w:val="00073223"/>
    <w:rsid w:val="00073550"/>
    <w:rsid w:val="000743F0"/>
    <w:rsid w:val="00074862"/>
    <w:rsid w:val="00074F51"/>
    <w:rsid w:val="00077108"/>
    <w:rsid w:val="00081E51"/>
    <w:rsid w:val="00081FAC"/>
    <w:rsid w:val="00083289"/>
    <w:rsid w:val="00083494"/>
    <w:rsid w:val="00083542"/>
    <w:rsid w:val="000836A9"/>
    <w:rsid w:val="00085D37"/>
    <w:rsid w:val="000900C2"/>
    <w:rsid w:val="00090A36"/>
    <w:rsid w:val="000911AD"/>
    <w:rsid w:val="00091AF1"/>
    <w:rsid w:val="00095F65"/>
    <w:rsid w:val="000960CB"/>
    <w:rsid w:val="00096AE1"/>
    <w:rsid w:val="0009725B"/>
    <w:rsid w:val="000A1578"/>
    <w:rsid w:val="000A2922"/>
    <w:rsid w:val="000A351F"/>
    <w:rsid w:val="000A43F8"/>
    <w:rsid w:val="000A4A28"/>
    <w:rsid w:val="000A5315"/>
    <w:rsid w:val="000A76EB"/>
    <w:rsid w:val="000B070E"/>
    <w:rsid w:val="000B2F61"/>
    <w:rsid w:val="000B5360"/>
    <w:rsid w:val="000C1B40"/>
    <w:rsid w:val="000C38F7"/>
    <w:rsid w:val="000D128E"/>
    <w:rsid w:val="000D254C"/>
    <w:rsid w:val="000D5076"/>
    <w:rsid w:val="000E1942"/>
    <w:rsid w:val="000E2CB7"/>
    <w:rsid w:val="000E47FD"/>
    <w:rsid w:val="000E7DB6"/>
    <w:rsid w:val="000F066C"/>
    <w:rsid w:val="000F0D60"/>
    <w:rsid w:val="000F173E"/>
    <w:rsid w:val="000F2783"/>
    <w:rsid w:val="000F5B96"/>
    <w:rsid w:val="000F6121"/>
    <w:rsid w:val="00100843"/>
    <w:rsid w:val="00101750"/>
    <w:rsid w:val="0010379A"/>
    <w:rsid w:val="00103CA2"/>
    <w:rsid w:val="00105875"/>
    <w:rsid w:val="00107856"/>
    <w:rsid w:val="00111000"/>
    <w:rsid w:val="001135FB"/>
    <w:rsid w:val="00114230"/>
    <w:rsid w:val="0011588F"/>
    <w:rsid w:val="0011785F"/>
    <w:rsid w:val="001212C9"/>
    <w:rsid w:val="0012379B"/>
    <w:rsid w:val="00123839"/>
    <w:rsid w:val="00124769"/>
    <w:rsid w:val="00126F59"/>
    <w:rsid w:val="00127C72"/>
    <w:rsid w:val="00131114"/>
    <w:rsid w:val="00133220"/>
    <w:rsid w:val="001341F5"/>
    <w:rsid w:val="001352C7"/>
    <w:rsid w:val="00136E72"/>
    <w:rsid w:val="001370DB"/>
    <w:rsid w:val="001445ED"/>
    <w:rsid w:val="00144DE7"/>
    <w:rsid w:val="00145CAD"/>
    <w:rsid w:val="00146CCE"/>
    <w:rsid w:val="00146DFD"/>
    <w:rsid w:val="00146F09"/>
    <w:rsid w:val="00146F11"/>
    <w:rsid w:val="00150DB2"/>
    <w:rsid w:val="00150EF4"/>
    <w:rsid w:val="00153A39"/>
    <w:rsid w:val="00154366"/>
    <w:rsid w:val="00154471"/>
    <w:rsid w:val="00155EC1"/>
    <w:rsid w:val="0016002F"/>
    <w:rsid w:val="001645BD"/>
    <w:rsid w:val="00164857"/>
    <w:rsid w:val="0016781D"/>
    <w:rsid w:val="00173A9C"/>
    <w:rsid w:val="001740CB"/>
    <w:rsid w:val="001768E4"/>
    <w:rsid w:val="00176C48"/>
    <w:rsid w:val="00177C7E"/>
    <w:rsid w:val="001911D4"/>
    <w:rsid w:val="00191BA8"/>
    <w:rsid w:val="001937CC"/>
    <w:rsid w:val="0019498D"/>
    <w:rsid w:val="00197B82"/>
    <w:rsid w:val="001A03D8"/>
    <w:rsid w:val="001A10E4"/>
    <w:rsid w:val="001A134F"/>
    <w:rsid w:val="001A20A8"/>
    <w:rsid w:val="001A40E7"/>
    <w:rsid w:val="001A6827"/>
    <w:rsid w:val="001B004E"/>
    <w:rsid w:val="001B03A3"/>
    <w:rsid w:val="001B0DE1"/>
    <w:rsid w:val="001B1B13"/>
    <w:rsid w:val="001B1DBD"/>
    <w:rsid w:val="001B6CBC"/>
    <w:rsid w:val="001B723A"/>
    <w:rsid w:val="001B7FD7"/>
    <w:rsid w:val="001C03D6"/>
    <w:rsid w:val="001C0660"/>
    <w:rsid w:val="001C6903"/>
    <w:rsid w:val="001D05F1"/>
    <w:rsid w:val="001D168F"/>
    <w:rsid w:val="001D4B36"/>
    <w:rsid w:val="001D4FB1"/>
    <w:rsid w:val="001D5D27"/>
    <w:rsid w:val="001D639B"/>
    <w:rsid w:val="001E4DD7"/>
    <w:rsid w:val="001E6A54"/>
    <w:rsid w:val="001E73E6"/>
    <w:rsid w:val="001F2975"/>
    <w:rsid w:val="001F298C"/>
    <w:rsid w:val="001F60EE"/>
    <w:rsid w:val="001F642D"/>
    <w:rsid w:val="001F7AB1"/>
    <w:rsid w:val="002001C6"/>
    <w:rsid w:val="00201D87"/>
    <w:rsid w:val="00201DF9"/>
    <w:rsid w:val="0020308E"/>
    <w:rsid w:val="00206764"/>
    <w:rsid w:val="0021444A"/>
    <w:rsid w:val="00214C67"/>
    <w:rsid w:val="00215432"/>
    <w:rsid w:val="00215A34"/>
    <w:rsid w:val="00217041"/>
    <w:rsid w:val="00222ACA"/>
    <w:rsid w:val="0022521D"/>
    <w:rsid w:val="00225A1F"/>
    <w:rsid w:val="00227979"/>
    <w:rsid w:val="002303B4"/>
    <w:rsid w:val="002309F1"/>
    <w:rsid w:val="00230C82"/>
    <w:rsid w:val="00232B44"/>
    <w:rsid w:val="002333AC"/>
    <w:rsid w:val="00233CE3"/>
    <w:rsid w:val="0023672A"/>
    <w:rsid w:val="002369EE"/>
    <w:rsid w:val="00237574"/>
    <w:rsid w:val="002417AE"/>
    <w:rsid w:val="00243634"/>
    <w:rsid w:val="00243A96"/>
    <w:rsid w:val="002458C3"/>
    <w:rsid w:val="00245A48"/>
    <w:rsid w:val="00246DCD"/>
    <w:rsid w:val="00251BEC"/>
    <w:rsid w:val="00252E95"/>
    <w:rsid w:val="00252EC8"/>
    <w:rsid w:val="002532FB"/>
    <w:rsid w:val="002565B0"/>
    <w:rsid w:val="0025679F"/>
    <w:rsid w:val="00256A4E"/>
    <w:rsid w:val="0025726C"/>
    <w:rsid w:val="00261452"/>
    <w:rsid w:val="00265001"/>
    <w:rsid w:val="0026522A"/>
    <w:rsid w:val="002660B1"/>
    <w:rsid w:val="002678D9"/>
    <w:rsid w:val="00272135"/>
    <w:rsid w:val="002767FB"/>
    <w:rsid w:val="0028125E"/>
    <w:rsid w:val="002826F1"/>
    <w:rsid w:val="00282A1D"/>
    <w:rsid w:val="00283ED0"/>
    <w:rsid w:val="00295AB3"/>
    <w:rsid w:val="002976F9"/>
    <w:rsid w:val="002A031D"/>
    <w:rsid w:val="002A0B57"/>
    <w:rsid w:val="002A181A"/>
    <w:rsid w:val="002A46E6"/>
    <w:rsid w:val="002A702B"/>
    <w:rsid w:val="002B02CA"/>
    <w:rsid w:val="002B1DCC"/>
    <w:rsid w:val="002B562A"/>
    <w:rsid w:val="002B5E32"/>
    <w:rsid w:val="002C0BCB"/>
    <w:rsid w:val="002C0CE4"/>
    <w:rsid w:val="002C20C8"/>
    <w:rsid w:val="002C2624"/>
    <w:rsid w:val="002C37B8"/>
    <w:rsid w:val="002C4C81"/>
    <w:rsid w:val="002C56D6"/>
    <w:rsid w:val="002D0E89"/>
    <w:rsid w:val="002D3AFF"/>
    <w:rsid w:val="002D46CA"/>
    <w:rsid w:val="002D59CB"/>
    <w:rsid w:val="002D7090"/>
    <w:rsid w:val="002E10D0"/>
    <w:rsid w:val="002E1863"/>
    <w:rsid w:val="002E27CD"/>
    <w:rsid w:val="002E3C25"/>
    <w:rsid w:val="002E56C7"/>
    <w:rsid w:val="002E6502"/>
    <w:rsid w:val="002F082E"/>
    <w:rsid w:val="002F1914"/>
    <w:rsid w:val="002F29D4"/>
    <w:rsid w:val="00300D34"/>
    <w:rsid w:val="00302129"/>
    <w:rsid w:val="00303553"/>
    <w:rsid w:val="00303FD2"/>
    <w:rsid w:val="003043A9"/>
    <w:rsid w:val="00304A84"/>
    <w:rsid w:val="00304E2F"/>
    <w:rsid w:val="003078A0"/>
    <w:rsid w:val="00310216"/>
    <w:rsid w:val="00313646"/>
    <w:rsid w:val="00314234"/>
    <w:rsid w:val="00316E2F"/>
    <w:rsid w:val="003172FD"/>
    <w:rsid w:val="003208E7"/>
    <w:rsid w:val="003210B3"/>
    <w:rsid w:val="00324EAA"/>
    <w:rsid w:val="003256C3"/>
    <w:rsid w:val="003273F4"/>
    <w:rsid w:val="003311CE"/>
    <w:rsid w:val="003324AD"/>
    <w:rsid w:val="00336781"/>
    <w:rsid w:val="003379D3"/>
    <w:rsid w:val="00341165"/>
    <w:rsid w:val="00341E26"/>
    <w:rsid w:val="00342CCA"/>
    <w:rsid w:val="00344817"/>
    <w:rsid w:val="0034486D"/>
    <w:rsid w:val="00346B83"/>
    <w:rsid w:val="00346D91"/>
    <w:rsid w:val="00350660"/>
    <w:rsid w:val="00354445"/>
    <w:rsid w:val="00360311"/>
    <w:rsid w:val="00360945"/>
    <w:rsid w:val="003609FB"/>
    <w:rsid w:val="00362091"/>
    <w:rsid w:val="00372024"/>
    <w:rsid w:val="0037489C"/>
    <w:rsid w:val="003777D9"/>
    <w:rsid w:val="00380983"/>
    <w:rsid w:val="003819AF"/>
    <w:rsid w:val="003820A8"/>
    <w:rsid w:val="00385603"/>
    <w:rsid w:val="00391AED"/>
    <w:rsid w:val="003955D5"/>
    <w:rsid w:val="003958CC"/>
    <w:rsid w:val="003A064E"/>
    <w:rsid w:val="003A4A65"/>
    <w:rsid w:val="003A4F8E"/>
    <w:rsid w:val="003B0331"/>
    <w:rsid w:val="003B2190"/>
    <w:rsid w:val="003B3D27"/>
    <w:rsid w:val="003B3FE2"/>
    <w:rsid w:val="003B62A5"/>
    <w:rsid w:val="003BE1B6"/>
    <w:rsid w:val="003C095F"/>
    <w:rsid w:val="003C254E"/>
    <w:rsid w:val="003C6B01"/>
    <w:rsid w:val="003D0BE0"/>
    <w:rsid w:val="003D601E"/>
    <w:rsid w:val="003D6859"/>
    <w:rsid w:val="003D7C58"/>
    <w:rsid w:val="003D7DF2"/>
    <w:rsid w:val="003E0129"/>
    <w:rsid w:val="003E1A1E"/>
    <w:rsid w:val="003E211C"/>
    <w:rsid w:val="003E3C4F"/>
    <w:rsid w:val="003E6A1E"/>
    <w:rsid w:val="003E6EEB"/>
    <w:rsid w:val="003F1E41"/>
    <w:rsid w:val="003F3E2D"/>
    <w:rsid w:val="003F4463"/>
    <w:rsid w:val="003F6467"/>
    <w:rsid w:val="00400C1E"/>
    <w:rsid w:val="00401957"/>
    <w:rsid w:val="00404BC4"/>
    <w:rsid w:val="00411EFB"/>
    <w:rsid w:val="00412DBC"/>
    <w:rsid w:val="0041450A"/>
    <w:rsid w:val="00416960"/>
    <w:rsid w:val="00416FBB"/>
    <w:rsid w:val="004202FA"/>
    <w:rsid w:val="004209F5"/>
    <w:rsid w:val="00420AE6"/>
    <w:rsid w:val="00425AC8"/>
    <w:rsid w:val="00427B59"/>
    <w:rsid w:val="00430077"/>
    <w:rsid w:val="0043017C"/>
    <w:rsid w:val="004312E7"/>
    <w:rsid w:val="00432791"/>
    <w:rsid w:val="00432E27"/>
    <w:rsid w:val="00435291"/>
    <w:rsid w:val="00437771"/>
    <w:rsid w:val="004414F4"/>
    <w:rsid w:val="0044309B"/>
    <w:rsid w:val="00445250"/>
    <w:rsid w:val="00446EED"/>
    <w:rsid w:val="004473AF"/>
    <w:rsid w:val="00450C93"/>
    <w:rsid w:val="00454450"/>
    <w:rsid w:val="00454916"/>
    <w:rsid w:val="00460AEB"/>
    <w:rsid w:val="00462B76"/>
    <w:rsid w:val="00463276"/>
    <w:rsid w:val="004634B8"/>
    <w:rsid w:val="00466FC6"/>
    <w:rsid w:val="00472050"/>
    <w:rsid w:val="004732B2"/>
    <w:rsid w:val="0047469A"/>
    <w:rsid w:val="00476C20"/>
    <w:rsid w:val="004777B2"/>
    <w:rsid w:val="0048193D"/>
    <w:rsid w:val="0048256F"/>
    <w:rsid w:val="00482815"/>
    <w:rsid w:val="0048411E"/>
    <w:rsid w:val="004843A3"/>
    <w:rsid w:val="00484EB6"/>
    <w:rsid w:val="00486E80"/>
    <w:rsid w:val="0049169E"/>
    <w:rsid w:val="00493D7B"/>
    <w:rsid w:val="00493E95"/>
    <w:rsid w:val="004943E6"/>
    <w:rsid w:val="00494EAF"/>
    <w:rsid w:val="00495B61"/>
    <w:rsid w:val="004A0A7A"/>
    <w:rsid w:val="004A0D5D"/>
    <w:rsid w:val="004A3856"/>
    <w:rsid w:val="004A5ED2"/>
    <w:rsid w:val="004A66EF"/>
    <w:rsid w:val="004B358B"/>
    <w:rsid w:val="004B5007"/>
    <w:rsid w:val="004C3CEC"/>
    <w:rsid w:val="004C4DD0"/>
    <w:rsid w:val="004C5703"/>
    <w:rsid w:val="004C65D9"/>
    <w:rsid w:val="004C70DF"/>
    <w:rsid w:val="004C7248"/>
    <w:rsid w:val="004D2952"/>
    <w:rsid w:val="004D30AD"/>
    <w:rsid w:val="004D3FFC"/>
    <w:rsid w:val="004D4330"/>
    <w:rsid w:val="004D57BD"/>
    <w:rsid w:val="004D714C"/>
    <w:rsid w:val="004D7969"/>
    <w:rsid w:val="004E2CC7"/>
    <w:rsid w:val="004E3324"/>
    <w:rsid w:val="004E40FC"/>
    <w:rsid w:val="004E6694"/>
    <w:rsid w:val="004E67DA"/>
    <w:rsid w:val="004F22BC"/>
    <w:rsid w:val="004F3F94"/>
    <w:rsid w:val="00501066"/>
    <w:rsid w:val="005019D3"/>
    <w:rsid w:val="005045F5"/>
    <w:rsid w:val="00504647"/>
    <w:rsid w:val="005051A2"/>
    <w:rsid w:val="00507005"/>
    <w:rsid w:val="0050702F"/>
    <w:rsid w:val="00510613"/>
    <w:rsid w:val="00510711"/>
    <w:rsid w:val="005111FE"/>
    <w:rsid w:val="00511969"/>
    <w:rsid w:val="005122D0"/>
    <w:rsid w:val="0051363B"/>
    <w:rsid w:val="005138AC"/>
    <w:rsid w:val="0051784C"/>
    <w:rsid w:val="005207E0"/>
    <w:rsid w:val="00525116"/>
    <w:rsid w:val="005302E3"/>
    <w:rsid w:val="00540649"/>
    <w:rsid w:val="005421ED"/>
    <w:rsid w:val="00546408"/>
    <w:rsid w:val="00546EDB"/>
    <w:rsid w:val="00547F60"/>
    <w:rsid w:val="005505FB"/>
    <w:rsid w:val="005509D9"/>
    <w:rsid w:val="005516E9"/>
    <w:rsid w:val="00552298"/>
    <w:rsid w:val="0055347D"/>
    <w:rsid w:val="005553A9"/>
    <w:rsid w:val="005565B8"/>
    <w:rsid w:val="00557DB9"/>
    <w:rsid w:val="005615B9"/>
    <w:rsid w:val="0056321F"/>
    <w:rsid w:val="005650F8"/>
    <w:rsid w:val="00565CB6"/>
    <w:rsid w:val="00571F99"/>
    <w:rsid w:val="00574796"/>
    <w:rsid w:val="00574DDC"/>
    <w:rsid w:val="00575F6F"/>
    <w:rsid w:val="0058002E"/>
    <w:rsid w:val="005803A8"/>
    <w:rsid w:val="00581C2B"/>
    <w:rsid w:val="0058262C"/>
    <w:rsid w:val="00584133"/>
    <w:rsid w:val="00586E7E"/>
    <w:rsid w:val="0058714F"/>
    <w:rsid w:val="0059005A"/>
    <w:rsid w:val="005A3E63"/>
    <w:rsid w:val="005A465D"/>
    <w:rsid w:val="005A6C8A"/>
    <w:rsid w:val="005B5E2F"/>
    <w:rsid w:val="005B6755"/>
    <w:rsid w:val="005B7015"/>
    <w:rsid w:val="005C3122"/>
    <w:rsid w:val="005C73F6"/>
    <w:rsid w:val="005D4BE1"/>
    <w:rsid w:val="005D67CF"/>
    <w:rsid w:val="005D78DC"/>
    <w:rsid w:val="005D7B67"/>
    <w:rsid w:val="005E20A7"/>
    <w:rsid w:val="005E38D8"/>
    <w:rsid w:val="005E47CD"/>
    <w:rsid w:val="005E57FD"/>
    <w:rsid w:val="005E7322"/>
    <w:rsid w:val="005E766F"/>
    <w:rsid w:val="005F337D"/>
    <w:rsid w:val="005F57D8"/>
    <w:rsid w:val="005F6C5D"/>
    <w:rsid w:val="006015AD"/>
    <w:rsid w:val="00605FEE"/>
    <w:rsid w:val="0060606C"/>
    <w:rsid w:val="00606F33"/>
    <w:rsid w:val="006126EF"/>
    <w:rsid w:val="00612E41"/>
    <w:rsid w:val="00617403"/>
    <w:rsid w:val="00620483"/>
    <w:rsid w:val="00620F55"/>
    <w:rsid w:val="00623F41"/>
    <w:rsid w:val="00624F7F"/>
    <w:rsid w:val="00624FBF"/>
    <w:rsid w:val="00626616"/>
    <w:rsid w:val="006306FE"/>
    <w:rsid w:val="00630D04"/>
    <w:rsid w:val="00633D90"/>
    <w:rsid w:val="0063571E"/>
    <w:rsid w:val="006372CF"/>
    <w:rsid w:val="00640D5D"/>
    <w:rsid w:val="00642275"/>
    <w:rsid w:val="0064338F"/>
    <w:rsid w:val="006469D0"/>
    <w:rsid w:val="00646F9C"/>
    <w:rsid w:val="00650886"/>
    <w:rsid w:val="00653936"/>
    <w:rsid w:val="0065615B"/>
    <w:rsid w:val="00657141"/>
    <w:rsid w:val="0066308A"/>
    <w:rsid w:val="00677B5B"/>
    <w:rsid w:val="006800BE"/>
    <w:rsid w:val="00680DF2"/>
    <w:rsid w:val="00681EB9"/>
    <w:rsid w:val="00682F1C"/>
    <w:rsid w:val="006854F4"/>
    <w:rsid w:val="00686D94"/>
    <w:rsid w:val="00687741"/>
    <w:rsid w:val="00692058"/>
    <w:rsid w:val="00692749"/>
    <w:rsid w:val="00694253"/>
    <w:rsid w:val="00697D2A"/>
    <w:rsid w:val="006A2BB8"/>
    <w:rsid w:val="006A3377"/>
    <w:rsid w:val="006A43CC"/>
    <w:rsid w:val="006A4BE6"/>
    <w:rsid w:val="006A5B2C"/>
    <w:rsid w:val="006A6578"/>
    <w:rsid w:val="006B07C8"/>
    <w:rsid w:val="006B169C"/>
    <w:rsid w:val="006B1AD1"/>
    <w:rsid w:val="006B1EFF"/>
    <w:rsid w:val="006B2965"/>
    <w:rsid w:val="006B5170"/>
    <w:rsid w:val="006B53C1"/>
    <w:rsid w:val="006B5FF9"/>
    <w:rsid w:val="006B62C8"/>
    <w:rsid w:val="006B6F60"/>
    <w:rsid w:val="006B7B19"/>
    <w:rsid w:val="006C247F"/>
    <w:rsid w:val="006C3E21"/>
    <w:rsid w:val="006C494C"/>
    <w:rsid w:val="006C4AFF"/>
    <w:rsid w:val="006C4DB4"/>
    <w:rsid w:val="006C5F77"/>
    <w:rsid w:val="006D10FB"/>
    <w:rsid w:val="006D12C8"/>
    <w:rsid w:val="006D1483"/>
    <w:rsid w:val="006D3BC4"/>
    <w:rsid w:val="006D491C"/>
    <w:rsid w:val="006D721A"/>
    <w:rsid w:val="006E1218"/>
    <w:rsid w:val="006E25C1"/>
    <w:rsid w:val="006E28F6"/>
    <w:rsid w:val="006E3971"/>
    <w:rsid w:val="006E492D"/>
    <w:rsid w:val="006E5C50"/>
    <w:rsid w:val="006E623E"/>
    <w:rsid w:val="006E6B25"/>
    <w:rsid w:val="006E70D6"/>
    <w:rsid w:val="006E7556"/>
    <w:rsid w:val="006F3090"/>
    <w:rsid w:val="006F30CD"/>
    <w:rsid w:val="006F7574"/>
    <w:rsid w:val="00701956"/>
    <w:rsid w:val="007034F7"/>
    <w:rsid w:val="00706568"/>
    <w:rsid w:val="00713948"/>
    <w:rsid w:val="007145CC"/>
    <w:rsid w:val="0071596B"/>
    <w:rsid w:val="0071654A"/>
    <w:rsid w:val="007203C2"/>
    <w:rsid w:val="00720C21"/>
    <w:rsid w:val="00721946"/>
    <w:rsid w:val="00721D04"/>
    <w:rsid w:val="0072368E"/>
    <w:rsid w:val="00725540"/>
    <w:rsid w:val="007304C9"/>
    <w:rsid w:val="00731531"/>
    <w:rsid w:val="007326E5"/>
    <w:rsid w:val="007348C0"/>
    <w:rsid w:val="007443A7"/>
    <w:rsid w:val="00745352"/>
    <w:rsid w:val="007502BF"/>
    <w:rsid w:val="00752755"/>
    <w:rsid w:val="00752991"/>
    <w:rsid w:val="00756F72"/>
    <w:rsid w:val="00760247"/>
    <w:rsid w:val="00760F48"/>
    <w:rsid w:val="00761760"/>
    <w:rsid w:val="00765358"/>
    <w:rsid w:val="007660EC"/>
    <w:rsid w:val="007677C5"/>
    <w:rsid w:val="00767E18"/>
    <w:rsid w:val="0077506E"/>
    <w:rsid w:val="00775C72"/>
    <w:rsid w:val="00775D4E"/>
    <w:rsid w:val="007762AE"/>
    <w:rsid w:val="00781587"/>
    <w:rsid w:val="00781AD8"/>
    <w:rsid w:val="007844FD"/>
    <w:rsid w:val="00784E7E"/>
    <w:rsid w:val="00786856"/>
    <w:rsid w:val="007879D3"/>
    <w:rsid w:val="007905D7"/>
    <w:rsid w:val="00791928"/>
    <w:rsid w:val="00792F44"/>
    <w:rsid w:val="00793DA2"/>
    <w:rsid w:val="0079558A"/>
    <w:rsid w:val="00796836"/>
    <w:rsid w:val="007A2979"/>
    <w:rsid w:val="007A48C6"/>
    <w:rsid w:val="007ACA35"/>
    <w:rsid w:val="007B72F4"/>
    <w:rsid w:val="007C099F"/>
    <w:rsid w:val="007C1A6E"/>
    <w:rsid w:val="007C2E68"/>
    <w:rsid w:val="007D1A15"/>
    <w:rsid w:val="007D3D36"/>
    <w:rsid w:val="007D5D35"/>
    <w:rsid w:val="007D77F2"/>
    <w:rsid w:val="007E0A4B"/>
    <w:rsid w:val="007E43D3"/>
    <w:rsid w:val="007E4B8C"/>
    <w:rsid w:val="007F0F6F"/>
    <w:rsid w:val="007F17DD"/>
    <w:rsid w:val="007F19C4"/>
    <w:rsid w:val="007F3B22"/>
    <w:rsid w:val="007F3F71"/>
    <w:rsid w:val="007F5EE3"/>
    <w:rsid w:val="007F6ECC"/>
    <w:rsid w:val="00803CED"/>
    <w:rsid w:val="00806A3A"/>
    <w:rsid w:val="00806F30"/>
    <w:rsid w:val="008101AF"/>
    <w:rsid w:val="0081093E"/>
    <w:rsid w:val="00811B27"/>
    <w:rsid w:val="00813C75"/>
    <w:rsid w:val="00815A2F"/>
    <w:rsid w:val="00816C00"/>
    <w:rsid w:val="00820180"/>
    <w:rsid w:val="00822E42"/>
    <w:rsid w:val="00823D06"/>
    <w:rsid w:val="008257F9"/>
    <w:rsid w:val="008270A6"/>
    <w:rsid w:val="00830F33"/>
    <w:rsid w:val="00832E4D"/>
    <w:rsid w:val="008360E7"/>
    <w:rsid w:val="00836691"/>
    <w:rsid w:val="00836C58"/>
    <w:rsid w:val="0083EE9F"/>
    <w:rsid w:val="0084112E"/>
    <w:rsid w:val="008450CE"/>
    <w:rsid w:val="00845129"/>
    <w:rsid w:val="00850AD9"/>
    <w:rsid w:val="008535F1"/>
    <w:rsid w:val="008545A0"/>
    <w:rsid w:val="0085601A"/>
    <w:rsid w:val="00856F6A"/>
    <w:rsid w:val="00857A1F"/>
    <w:rsid w:val="00860335"/>
    <w:rsid w:val="00860F13"/>
    <w:rsid w:val="0086231A"/>
    <w:rsid w:val="00865577"/>
    <w:rsid w:val="00867331"/>
    <w:rsid w:val="008732FA"/>
    <w:rsid w:val="00873FE9"/>
    <w:rsid w:val="0087549D"/>
    <w:rsid w:val="008760F0"/>
    <w:rsid w:val="00876593"/>
    <w:rsid w:val="008826BE"/>
    <w:rsid w:val="00884FDE"/>
    <w:rsid w:val="00885328"/>
    <w:rsid w:val="008A00A0"/>
    <w:rsid w:val="008A3535"/>
    <w:rsid w:val="008A47F4"/>
    <w:rsid w:val="008A754C"/>
    <w:rsid w:val="008B27FC"/>
    <w:rsid w:val="008C0B11"/>
    <w:rsid w:val="008C17A0"/>
    <w:rsid w:val="008C44D4"/>
    <w:rsid w:val="008C53FC"/>
    <w:rsid w:val="008C5861"/>
    <w:rsid w:val="008C6B93"/>
    <w:rsid w:val="008D27DA"/>
    <w:rsid w:val="008D5E91"/>
    <w:rsid w:val="008D75CC"/>
    <w:rsid w:val="008E0C1B"/>
    <w:rsid w:val="008E1142"/>
    <w:rsid w:val="008E4605"/>
    <w:rsid w:val="008E6535"/>
    <w:rsid w:val="008E6B0C"/>
    <w:rsid w:val="008E7950"/>
    <w:rsid w:val="008F1013"/>
    <w:rsid w:val="008F513C"/>
    <w:rsid w:val="008F659F"/>
    <w:rsid w:val="008F6D26"/>
    <w:rsid w:val="00900E88"/>
    <w:rsid w:val="00900F8F"/>
    <w:rsid w:val="00907283"/>
    <w:rsid w:val="0090777C"/>
    <w:rsid w:val="00911619"/>
    <w:rsid w:val="009139D6"/>
    <w:rsid w:val="009143A6"/>
    <w:rsid w:val="00916DBA"/>
    <w:rsid w:val="0092245C"/>
    <w:rsid w:val="00922E0B"/>
    <w:rsid w:val="00924DE7"/>
    <w:rsid w:val="009317B9"/>
    <w:rsid w:val="0093261D"/>
    <w:rsid w:val="00935A9A"/>
    <w:rsid w:val="009410C7"/>
    <w:rsid w:val="00943173"/>
    <w:rsid w:val="00944DCC"/>
    <w:rsid w:val="009463FE"/>
    <w:rsid w:val="00947A4C"/>
    <w:rsid w:val="00954ECD"/>
    <w:rsid w:val="00954F04"/>
    <w:rsid w:val="00955243"/>
    <w:rsid w:val="00955A8F"/>
    <w:rsid w:val="00955CC3"/>
    <w:rsid w:val="0096220E"/>
    <w:rsid w:val="00962F36"/>
    <w:rsid w:val="00965BC2"/>
    <w:rsid w:val="0096656F"/>
    <w:rsid w:val="00966D86"/>
    <w:rsid w:val="00971102"/>
    <w:rsid w:val="0097139C"/>
    <w:rsid w:val="00971F82"/>
    <w:rsid w:val="009727A2"/>
    <w:rsid w:val="0097292E"/>
    <w:rsid w:val="00973404"/>
    <w:rsid w:val="00973804"/>
    <w:rsid w:val="00974E81"/>
    <w:rsid w:val="00975E51"/>
    <w:rsid w:val="00976C0F"/>
    <w:rsid w:val="009807D0"/>
    <w:rsid w:val="00991638"/>
    <w:rsid w:val="00991E32"/>
    <w:rsid w:val="009944F1"/>
    <w:rsid w:val="00995A87"/>
    <w:rsid w:val="009A11F9"/>
    <w:rsid w:val="009A1CAD"/>
    <w:rsid w:val="009A2C07"/>
    <w:rsid w:val="009A34EF"/>
    <w:rsid w:val="009A6885"/>
    <w:rsid w:val="009B3B8D"/>
    <w:rsid w:val="009B7C07"/>
    <w:rsid w:val="009C16A6"/>
    <w:rsid w:val="009C6D66"/>
    <w:rsid w:val="009C74FD"/>
    <w:rsid w:val="009D32C6"/>
    <w:rsid w:val="009D5907"/>
    <w:rsid w:val="009D5D89"/>
    <w:rsid w:val="009D7132"/>
    <w:rsid w:val="009E1E5D"/>
    <w:rsid w:val="009E7057"/>
    <w:rsid w:val="009E7F5F"/>
    <w:rsid w:val="009ECDC6"/>
    <w:rsid w:val="009F0AA6"/>
    <w:rsid w:val="009F51DC"/>
    <w:rsid w:val="009F5AC3"/>
    <w:rsid w:val="009F6681"/>
    <w:rsid w:val="00A045A6"/>
    <w:rsid w:val="00A049DA"/>
    <w:rsid w:val="00A050E5"/>
    <w:rsid w:val="00A1184C"/>
    <w:rsid w:val="00A12FBD"/>
    <w:rsid w:val="00A1516E"/>
    <w:rsid w:val="00A15BF6"/>
    <w:rsid w:val="00A17C42"/>
    <w:rsid w:val="00A17EB7"/>
    <w:rsid w:val="00A22605"/>
    <w:rsid w:val="00A22E24"/>
    <w:rsid w:val="00A22ED8"/>
    <w:rsid w:val="00A232DE"/>
    <w:rsid w:val="00A235FC"/>
    <w:rsid w:val="00A25810"/>
    <w:rsid w:val="00A25829"/>
    <w:rsid w:val="00A25949"/>
    <w:rsid w:val="00A25B69"/>
    <w:rsid w:val="00A303F3"/>
    <w:rsid w:val="00A3195A"/>
    <w:rsid w:val="00A3440F"/>
    <w:rsid w:val="00A3448E"/>
    <w:rsid w:val="00A355AB"/>
    <w:rsid w:val="00A36779"/>
    <w:rsid w:val="00A40FCE"/>
    <w:rsid w:val="00A41E58"/>
    <w:rsid w:val="00A44A20"/>
    <w:rsid w:val="00A46A87"/>
    <w:rsid w:val="00A520CF"/>
    <w:rsid w:val="00A61829"/>
    <w:rsid w:val="00A66311"/>
    <w:rsid w:val="00A674CB"/>
    <w:rsid w:val="00A7249A"/>
    <w:rsid w:val="00A727B9"/>
    <w:rsid w:val="00A74049"/>
    <w:rsid w:val="00A75A2D"/>
    <w:rsid w:val="00A75E65"/>
    <w:rsid w:val="00A76BDB"/>
    <w:rsid w:val="00A8316A"/>
    <w:rsid w:val="00A8675F"/>
    <w:rsid w:val="00A879F1"/>
    <w:rsid w:val="00A90D3C"/>
    <w:rsid w:val="00AA0EBE"/>
    <w:rsid w:val="00AA26DC"/>
    <w:rsid w:val="00AA7EC0"/>
    <w:rsid w:val="00AB0144"/>
    <w:rsid w:val="00AB23C9"/>
    <w:rsid w:val="00AB451A"/>
    <w:rsid w:val="00AB4857"/>
    <w:rsid w:val="00AB527E"/>
    <w:rsid w:val="00AB59FB"/>
    <w:rsid w:val="00AB5AC2"/>
    <w:rsid w:val="00AB70DE"/>
    <w:rsid w:val="00AC4A14"/>
    <w:rsid w:val="00AC66AB"/>
    <w:rsid w:val="00AC7440"/>
    <w:rsid w:val="00AD2529"/>
    <w:rsid w:val="00AD2650"/>
    <w:rsid w:val="00AD44A5"/>
    <w:rsid w:val="00AE0072"/>
    <w:rsid w:val="00AE1AD0"/>
    <w:rsid w:val="00AE1C55"/>
    <w:rsid w:val="00AE245A"/>
    <w:rsid w:val="00AE7304"/>
    <w:rsid w:val="00AE787F"/>
    <w:rsid w:val="00AF154D"/>
    <w:rsid w:val="00AF1730"/>
    <w:rsid w:val="00AF1C47"/>
    <w:rsid w:val="00AF22D0"/>
    <w:rsid w:val="00AF27DF"/>
    <w:rsid w:val="00AF2A1D"/>
    <w:rsid w:val="00AF2E42"/>
    <w:rsid w:val="00AF6C6A"/>
    <w:rsid w:val="00AF6FED"/>
    <w:rsid w:val="00AF7B85"/>
    <w:rsid w:val="00B10C0A"/>
    <w:rsid w:val="00B11896"/>
    <w:rsid w:val="00B118F6"/>
    <w:rsid w:val="00B121AF"/>
    <w:rsid w:val="00B14926"/>
    <w:rsid w:val="00B15C64"/>
    <w:rsid w:val="00B15C85"/>
    <w:rsid w:val="00B20302"/>
    <w:rsid w:val="00B20CF5"/>
    <w:rsid w:val="00B25106"/>
    <w:rsid w:val="00B2549E"/>
    <w:rsid w:val="00B26E1B"/>
    <w:rsid w:val="00B27285"/>
    <w:rsid w:val="00B274DE"/>
    <w:rsid w:val="00B310E7"/>
    <w:rsid w:val="00B317EA"/>
    <w:rsid w:val="00B33941"/>
    <w:rsid w:val="00B3404D"/>
    <w:rsid w:val="00B3460E"/>
    <w:rsid w:val="00B34668"/>
    <w:rsid w:val="00B441D1"/>
    <w:rsid w:val="00B4619A"/>
    <w:rsid w:val="00B469D8"/>
    <w:rsid w:val="00B47365"/>
    <w:rsid w:val="00B47F44"/>
    <w:rsid w:val="00B50273"/>
    <w:rsid w:val="00B50FAF"/>
    <w:rsid w:val="00B5207C"/>
    <w:rsid w:val="00B54983"/>
    <w:rsid w:val="00B55355"/>
    <w:rsid w:val="00B56649"/>
    <w:rsid w:val="00B570E0"/>
    <w:rsid w:val="00B57102"/>
    <w:rsid w:val="00B57614"/>
    <w:rsid w:val="00B60A52"/>
    <w:rsid w:val="00B65FD4"/>
    <w:rsid w:val="00B67D33"/>
    <w:rsid w:val="00B733BE"/>
    <w:rsid w:val="00B73EF1"/>
    <w:rsid w:val="00B744CE"/>
    <w:rsid w:val="00B752A8"/>
    <w:rsid w:val="00B76295"/>
    <w:rsid w:val="00B772FB"/>
    <w:rsid w:val="00B778D5"/>
    <w:rsid w:val="00B83AC6"/>
    <w:rsid w:val="00B83FFD"/>
    <w:rsid w:val="00B917BA"/>
    <w:rsid w:val="00B9202C"/>
    <w:rsid w:val="00B9218E"/>
    <w:rsid w:val="00B95D46"/>
    <w:rsid w:val="00B9634F"/>
    <w:rsid w:val="00B96E0A"/>
    <w:rsid w:val="00B97F31"/>
    <w:rsid w:val="00BA0925"/>
    <w:rsid w:val="00BA65DA"/>
    <w:rsid w:val="00BB27A8"/>
    <w:rsid w:val="00BB4AE9"/>
    <w:rsid w:val="00BB748A"/>
    <w:rsid w:val="00BB7E7F"/>
    <w:rsid w:val="00BC0992"/>
    <w:rsid w:val="00BC0EB0"/>
    <w:rsid w:val="00BC1B30"/>
    <w:rsid w:val="00BC1F00"/>
    <w:rsid w:val="00BC54D3"/>
    <w:rsid w:val="00BC5924"/>
    <w:rsid w:val="00BC7F3C"/>
    <w:rsid w:val="00BD122F"/>
    <w:rsid w:val="00BD194B"/>
    <w:rsid w:val="00BD1A62"/>
    <w:rsid w:val="00BD251F"/>
    <w:rsid w:val="00BD289A"/>
    <w:rsid w:val="00BD2CE6"/>
    <w:rsid w:val="00BD3AD7"/>
    <w:rsid w:val="00BE1226"/>
    <w:rsid w:val="00BE4831"/>
    <w:rsid w:val="00BE7619"/>
    <w:rsid w:val="00BF0AA1"/>
    <w:rsid w:val="00BF1095"/>
    <w:rsid w:val="00BF3A5B"/>
    <w:rsid w:val="00BF488E"/>
    <w:rsid w:val="00C01AA7"/>
    <w:rsid w:val="00C0766E"/>
    <w:rsid w:val="00C147E3"/>
    <w:rsid w:val="00C14E39"/>
    <w:rsid w:val="00C161F2"/>
    <w:rsid w:val="00C165CA"/>
    <w:rsid w:val="00C23D16"/>
    <w:rsid w:val="00C246C8"/>
    <w:rsid w:val="00C25351"/>
    <w:rsid w:val="00C257FE"/>
    <w:rsid w:val="00C26D47"/>
    <w:rsid w:val="00C27050"/>
    <w:rsid w:val="00C313E7"/>
    <w:rsid w:val="00C318F2"/>
    <w:rsid w:val="00C32EE0"/>
    <w:rsid w:val="00C346B9"/>
    <w:rsid w:val="00C362F9"/>
    <w:rsid w:val="00C37DEA"/>
    <w:rsid w:val="00C40802"/>
    <w:rsid w:val="00C47FE6"/>
    <w:rsid w:val="00C5078A"/>
    <w:rsid w:val="00C54106"/>
    <w:rsid w:val="00C61741"/>
    <w:rsid w:val="00C61FA9"/>
    <w:rsid w:val="00C65F3A"/>
    <w:rsid w:val="00C66FF4"/>
    <w:rsid w:val="00C67A12"/>
    <w:rsid w:val="00C7113F"/>
    <w:rsid w:val="00C713C8"/>
    <w:rsid w:val="00C763A6"/>
    <w:rsid w:val="00C77320"/>
    <w:rsid w:val="00C81D8F"/>
    <w:rsid w:val="00C82986"/>
    <w:rsid w:val="00C83373"/>
    <w:rsid w:val="00C83848"/>
    <w:rsid w:val="00C83EE5"/>
    <w:rsid w:val="00C86549"/>
    <w:rsid w:val="00C87C79"/>
    <w:rsid w:val="00C91098"/>
    <w:rsid w:val="00C94280"/>
    <w:rsid w:val="00C96883"/>
    <w:rsid w:val="00C97906"/>
    <w:rsid w:val="00CA0A21"/>
    <w:rsid w:val="00CB1962"/>
    <w:rsid w:val="00CB354C"/>
    <w:rsid w:val="00CB58A5"/>
    <w:rsid w:val="00CB5E60"/>
    <w:rsid w:val="00CB68CF"/>
    <w:rsid w:val="00CC0E25"/>
    <w:rsid w:val="00CC291F"/>
    <w:rsid w:val="00CC3A3D"/>
    <w:rsid w:val="00CC65D6"/>
    <w:rsid w:val="00CD1089"/>
    <w:rsid w:val="00CD13C3"/>
    <w:rsid w:val="00CD167C"/>
    <w:rsid w:val="00CD2B3F"/>
    <w:rsid w:val="00CD319A"/>
    <w:rsid w:val="00CE248C"/>
    <w:rsid w:val="00CE2C6A"/>
    <w:rsid w:val="00CE41E2"/>
    <w:rsid w:val="00CE4E1B"/>
    <w:rsid w:val="00CE7F3F"/>
    <w:rsid w:val="00CF0641"/>
    <w:rsid w:val="00CF10A7"/>
    <w:rsid w:val="00CF54F8"/>
    <w:rsid w:val="00CF5CA3"/>
    <w:rsid w:val="00D006F2"/>
    <w:rsid w:val="00D02E74"/>
    <w:rsid w:val="00D07893"/>
    <w:rsid w:val="00D12CB3"/>
    <w:rsid w:val="00D13902"/>
    <w:rsid w:val="00D13AB2"/>
    <w:rsid w:val="00D148EE"/>
    <w:rsid w:val="00D14B1F"/>
    <w:rsid w:val="00D15808"/>
    <w:rsid w:val="00D1810A"/>
    <w:rsid w:val="00D224B8"/>
    <w:rsid w:val="00D229DF"/>
    <w:rsid w:val="00D33A2A"/>
    <w:rsid w:val="00D37302"/>
    <w:rsid w:val="00D37408"/>
    <w:rsid w:val="00D46E09"/>
    <w:rsid w:val="00D5042A"/>
    <w:rsid w:val="00D510D8"/>
    <w:rsid w:val="00D525A9"/>
    <w:rsid w:val="00D549F4"/>
    <w:rsid w:val="00D551A5"/>
    <w:rsid w:val="00D60617"/>
    <w:rsid w:val="00D60853"/>
    <w:rsid w:val="00D66668"/>
    <w:rsid w:val="00D66F0A"/>
    <w:rsid w:val="00D67767"/>
    <w:rsid w:val="00D70686"/>
    <w:rsid w:val="00D714FD"/>
    <w:rsid w:val="00D7203C"/>
    <w:rsid w:val="00D72948"/>
    <w:rsid w:val="00D72D38"/>
    <w:rsid w:val="00D7530D"/>
    <w:rsid w:val="00D757C2"/>
    <w:rsid w:val="00D761EB"/>
    <w:rsid w:val="00D77451"/>
    <w:rsid w:val="00D82105"/>
    <w:rsid w:val="00D835CD"/>
    <w:rsid w:val="00D91F02"/>
    <w:rsid w:val="00D958B8"/>
    <w:rsid w:val="00D963BF"/>
    <w:rsid w:val="00D96402"/>
    <w:rsid w:val="00D967D4"/>
    <w:rsid w:val="00DA1AED"/>
    <w:rsid w:val="00DA1BD0"/>
    <w:rsid w:val="00DA46C7"/>
    <w:rsid w:val="00DA47E8"/>
    <w:rsid w:val="00DA4C14"/>
    <w:rsid w:val="00DA66E2"/>
    <w:rsid w:val="00DB10D4"/>
    <w:rsid w:val="00DB7CB0"/>
    <w:rsid w:val="00DC24CA"/>
    <w:rsid w:val="00DC2CF4"/>
    <w:rsid w:val="00DC4F19"/>
    <w:rsid w:val="00DC5D3D"/>
    <w:rsid w:val="00DC72CF"/>
    <w:rsid w:val="00DD0367"/>
    <w:rsid w:val="00DD1870"/>
    <w:rsid w:val="00DD3318"/>
    <w:rsid w:val="00DD392A"/>
    <w:rsid w:val="00DD57EB"/>
    <w:rsid w:val="00DD690C"/>
    <w:rsid w:val="00DD7B51"/>
    <w:rsid w:val="00DD7DB9"/>
    <w:rsid w:val="00DD7E4B"/>
    <w:rsid w:val="00DE16DD"/>
    <w:rsid w:val="00DE58C7"/>
    <w:rsid w:val="00DE66E1"/>
    <w:rsid w:val="00DE7013"/>
    <w:rsid w:val="00DF6148"/>
    <w:rsid w:val="00DF6319"/>
    <w:rsid w:val="00DF6923"/>
    <w:rsid w:val="00DF7121"/>
    <w:rsid w:val="00E004DE"/>
    <w:rsid w:val="00E01895"/>
    <w:rsid w:val="00E01BBD"/>
    <w:rsid w:val="00E03CC8"/>
    <w:rsid w:val="00E07B7D"/>
    <w:rsid w:val="00E12BF9"/>
    <w:rsid w:val="00E156B9"/>
    <w:rsid w:val="00E15A8D"/>
    <w:rsid w:val="00E250C6"/>
    <w:rsid w:val="00E25CF8"/>
    <w:rsid w:val="00E26B74"/>
    <w:rsid w:val="00E3009B"/>
    <w:rsid w:val="00E30D46"/>
    <w:rsid w:val="00E30F9B"/>
    <w:rsid w:val="00E33A3B"/>
    <w:rsid w:val="00E371C2"/>
    <w:rsid w:val="00E41C39"/>
    <w:rsid w:val="00E50E20"/>
    <w:rsid w:val="00E51210"/>
    <w:rsid w:val="00E52BCE"/>
    <w:rsid w:val="00E538B3"/>
    <w:rsid w:val="00E539A3"/>
    <w:rsid w:val="00E5764F"/>
    <w:rsid w:val="00E60825"/>
    <w:rsid w:val="00E63E73"/>
    <w:rsid w:val="00E705E2"/>
    <w:rsid w:val="00E721C0"/>
    <w:rsid w:val="00E72324"/>
    <w:rsid w:val="00E72680"/>
    <w:rsid w:val="00E73218"/>
    <w:rsid w:val="00E768D9"/>
    <w:rsid w:val="00E77C14"/>
    <w:rsid w:val="00E77C1F"/>
    <w:rsid w:val="00E77E09"/>
    <w:rsid w:val="00E80224"/>
    <w:rsid w:val="00E806D0"/>
    <w:rsid w:val="00E80718"/>
    <w:rsid w:val="00E81759"/>
    <w:rsid w:val="00E8599A"/>
    <w:rsid w:val="00E85CED"/>
    <w:rsid w:val="00E865AA"/>
    <w:rsid w:val="00E91A07"/>
    <w:rsid w:val="00E93D26"/>
    <w:rsid w:val="00E948DC"/>
    <w:rsid w:val="00E95C75"/>
    <w:rsid w:val="00E96B50"/>
    <w:rsid w:val="00EA0593"/>
    <w:rsid w:val="00EA285F"/>
    <w:rsid w:val="00EA5FB4"/>
    <w:rsid w:val="00EB2AC4"/>
    <w:rsid w:val="00EB4219"/>
    <w:rsid w:val="00EB4AA9"/>
    <w:rsid w:val="00EB4BB3"/>
    <w:rsid w:val="00EB5712"/>
    <w:rsid w:val="00EC36E1"/>
    <w:rsid w:val="00EC4AC4"/>
    <w:rsid w:val="00EC51AF"/>
    <w:rsid w:val="00EC6EC3"/>
    <w:rsid w:val="00EC77EB"/>
    <w:rsid w:val="00ED1C4C"/>
    <w:rsid w:val="00ED4D53"/>
    <w:rsid w:val="00ED4FAE"/>
    <w:rsid w:val="00ED5E7A"/>
    <w:rsid w:val="00ED61B9"/>
    <w:rsid w:val="00ED6F39"/>
    <w:rsid w:val="00EE0910"/>
    <w:rsid w:val="00EE1F18"/>
    <w:rsid w:val="00EE38D5"/>
    <w:rsid w:val="00EE477D"/>
    <w:rsid w:val="00EF0C55"/>
    <w:rsid w:val="00F005E4"/>
    <w:rsid w:val="00F03B32"/>
    <w:rsid w:val="00F0462B"/>
    <w:rsid w:val="00F04B75"/>
    <w:rsid w:val="00F054A1"/>
    <w:rsid w:val="00F16299"/>
    <w:rsid w:val="00F170F7"/>
    <w:rsid w:val="00F17C23"/>
    <w:rsid w:val="00F26CA3"/>
    <w:rsid w:val="00F27287"/>
    <w:rsid w:val="00F3177F"/>
    <w:rsid w:val="00F328A9"/>
    <w:rsid w:val="00F33BE9"/>
    <w:rsid w:val="00F35AE3"/>
    <w:rsid w:val="00F42690"/>
    <w:rsid w:val="00F500EC"/>
    <w:rsid w:val="00F51B37"/>
    <w:rsid w:val="00F5355E"/>
    <w:rsid w:val="00F53ED4"/>
    <w:rsid w:val="00F554FD"/>
    <w:rsid w:val="00F57879"/>
    <w:rsid w:val="00F60FDE"/>
    <w:rsid w:val="00F6646A"/>
    <w:rsid w:val="00F66CA6"/>
    <w:rsid w:val="00F66E10"/>
    <w:rsid w:val="00F6733E"/>
    <w:rsid w:val="00F716CE"/>
    <w:rsid w:val="00F775CF"/>
    <w:rsid w:val="00F804F3"/>
    <w:rsid w:val="00F80CDE"/>
    <w:rsid w:val="00F81A08"/>
    <w:rsid w:val="00F81B4F"/>
    <w:rsid w:val="00F84196"/>
    <w:rsid w:val="00F84201"/>
    <w:rsid w:val="00F853CF"/>
    <w:rsid w:val="00F87028"/>
    <w:rsid w:val="00F87EC9"/>
    <w:rsid w:val="00F92BAD"/>
    <w:rsid w:val="00F94AF8"/>
    <w:rsid w:val="00F9572B"/>
    <w:rsid w:val="00F9640D"/>
    <w:rsid w:val="00FA174B"/>
    <w:rsid w:val="00FA1B87"/>
    <w:rsid w:val="00FA3A37"/>
    <w:rsid w:val="00FA3B01"/>
    <w:rsid w:val="00FA57E5"/>
    <w:rsid w:val="00FA7126"/>
    <w:rsid w:val="00FB138A"/>
    <w:rsid w:val="00FB1B02"/>
    <w:rsid w:val="00FB1BA3"/>
    <w:rsid w:val="00FB2735"/>
    <w:rsid w:val="00FB389D"/>
    <w:rsid w:val="00FB3FDA"/>
    <w:rsid w:val="00FB5FC9"/>
    <w:rsid w:val="00FB63FA"/>
    <w:rsid w:val="00FB7667"/>
    <w:rsid w:val="00FC29E5"/>
    <w:rsid w:val="00FC4F3A"/>
    <w:rsid w:val="00FD2CCA"/>
    <w:rsid w:val="00FD5F16"/>
    <w:rsid w:val="00FD7927"/>
    <w:rsid w:val="00FE0E35"/>
    <w:rsid w:val="00FE1A14"/>
    <w:rsid w:val="00FE21CE"/>
    <w:rsid w:val="00FE3D9F"/>
    <w:rsid w:val="00FE47E4"/>
    <w:rsid w:val="00FE5E15"/>
    <w:rsid w:val="00FF2F24"/>
    <w:rsid w:val="023CE50E"/>
    <w:rsid w:val="023E320A"/>
    <w:rsid w:val="02423919"/>
    <w:rsid w:val="024E64EA"/>
    <w:rsid w:val="0251C864"/>
    <w:rsid w:val="025F88DA"/>
    <w:rsid w:val="0265047E"/>
    <w:rsid w:val="027A48EC"/>
    <w:rsid w:val="02B008DB"/>
    <w:rsid w:val="031A8A03"/>
    <w:rsid w:val="033C36DA"/>
    <w:rsid w:val="03763436"/>
    <w:rsid w:val="037C6628"/>
    <w:rsid w:val="038AF60B"/>
    <w:rsid w:val="03CF4DAB"/>
    <w:rsid w:val="03D81EE4"/>
    <w:rsid w:val="04001691"/>
    <w:rsid w:val="04477D35"/>
    <w:rsid w:val="04C1898D"/>
    <w:rsid w:val="04DA8BAB"/>
    <w:rsid w:val="04E4134E"/>
    <w:rsid w:val="04EE9C73"/>
    <w:rsid w:val="05F8C298"/>
    <w:rsid w:val="06BE67AD"/>
    <w:rsid w:val="06D6A59D"/>
    <w:rsid w:val="072FFDDA"/>
    <w:rsid w:val="07959C2D"/>
    <w:rsid w:val="085BE27D"/>
    <w:rsid w:val="086AF2BF"/>
    <w:rsid w:val="09654D11"/>
    <w:rsid w:val="09C4DCDA"/>
    <w:rsid w:val="0B6C47A1"/>
    <w:rsid w:val="0BD65175"/>
    <w:rsid w:val="0C0C6AA8"/>
    <w:rsid w:val="0D57B558"/>
    <w:rsid w:val="0DE8EC88"/>
    <w:rsid w:val="0E376BED"/>
    <w:rsid w:val="0E64C24D"/>
    <w:rsid w:val="0EABB5B4"/>
    <w:rsid w:val="0F2B8279"/>
    <w:rsid w:val="0F4FFBD6"/>
    <w:rsid w:val="0F8ADA5B"/>
    <w:rsid w:val="0FD75DD0"/>
    <w:rsid w:val="105652F8"/>
    <w:rsid w:val="106604C7"/>
    <w:rsid w:val="1162AA51"/>
    <w:rsid w:val="116E35F6"/>
    <w:rsid w:val="11EC52DA"/>
    <w:rsid w:val="128E8585"/>
    <w:rsid w:val="1290B56D"/>
    <w:rsid w:val="13432BF5"/>
    <w:rsid w:val="1386DBD9"/>
    <w:rsid w:val="13B06C41"/>
    <w:rsid w:val="1455174C"/>
    <w:rsid w:val="14934BC0"/>
    <w:rsid w:val="149F232A"/>
    <w:rsid w:val="14A56932"/>
    <w:rsid w:val="1574EF65"/>
    <w:rsid w:val="158920E7"/>
    <w:rsid w:val="1638E723"/>
    <w:rsid w:val="16D5E70C"/>
    <w:rsid w:val="171D0DD1"/>
    <w:rsid w:val="177122D0"/>
    <w:rsid w:val="185E2CD3"/>
    <w:rsid w:val="18EBF1C8"/>
    <w:rsid w:val="1980BAD6"/>
    <w:rsid w:val="1B0D3034"/>
    <w:rsid w:val="1BC2EF83"/>
    <w:rsid w:val="1C23D9AF"/>
    <w:rsid w:val="1C5D08AD"/>
    <w:rsid w:val="1CE7992A"/>
    <w:rsid w:val="1D3799BF"/>
    <w:rsid w:val="1D559078"/>
    <w:rsid w:val="1D6C6208"/>
    <w:rsid w:val="1E17F7A0"/>
    <w:rsid w:val="1E5AAD4F"/>
    <w:rsid w:val="1E753839"/>
    <w:rsid w:val="1E9F3961"/>
    <w:rsid w:val="1F24136A"/>
    <w:rsid w:val="1F3643EB"/>
    <w:rsid w:val="1F4F8F81"/>
    <w:rsid w:val="1F9DD6DA"/>
    <w:rsid w:val="1FF008B4"/>
    <w:rsid w:val="201B1092"/>
    <w:rsid w:val="2134DC15"/>
    <w:rsid w:val="213D666B"/>
    <w:rsid w:val="21C15A3C"/>
    <w:rsid w:val="2276E301"/>
    <w:rsid w:val="22FECD3A"/>
    <w:rsid w:val="23AB5A47"/>
    <w:rsid w:val="23D0F220"/>
    <w:rsid w:val="23D753A2"/>
    <w:rsid w:val="24394963"/>
    <w:rsid w:val="24639ECE"/>
    <w:rsid w:val="24A3DC56"/>
    <w:rsid w:val="2536AE49"/>
    <w:rsid w:val="25612D52"/>
    <w:rsid w:val="257FA2FA"/>
    <w:rsid w:val="2586802E"/>
    <w:rsid w:val="25AB84FE"/>
    <w:rsid w:val="26367EC1"/>
    <w:rsid w:val="266423CF"/>
    <w:rsid w:val="267E2C5C"/>
    <w:rsid w:val="274A3CF2"/>
    <w:rsid w:val="27B13602"/>
    <w:rsid w:val="27C2BD37"/>
    <w:rsid w:val="2846B5BB"/>
    <w:rsid w:val="28529FB6"/>
    <w:rsid w:val="29CA377E"/>
    <w:rsid w:val="2A9292B3"/>
    <w:rsid w:val="2B76D90C"/>
    <w:rsid w:val="2B8DC8E6"/>
    <w:rsid w:val="2CA165F3"/>
    <w:rsid w:val="2CD03EE8"/>
    <w:rsid w:val="2D3202B5"/>
    <w:rsid w:val="2D5126BB"/>
    <w:rsid w:val="2DBEFCDA"/>
    <w:rsid w:val="2DC2B298"/>
    <w:rsid w:val="2E52CF6F"/>
    <w:rsid w:val="2E7C3670"/>
    <w:rsid w:val="2E891BCC"/>
    <w:rsid w:val="2EB1A1C1"/>
    <w:rsid w:val="2ECAD293"/>
    <w:rsid w:val="2EE787A8"/>
    <w:rsid w:val="2F409CD9"/>
    <w:rsid w:val="2F642A02"/>
    <w:rsid w:val="2FCC8288"/>
    <w:rsid w:val="30342353"/>
    <w:rsid w:val="30B6FA97"/>
    <w:rsid w:val="30F1553E"/>
    <w:rsid w:val="31827900"/>
    <w:rsid w:val="32012B6D"/>
    <w:rsid w:val="328A7D93"/>
    <w:rsid w:val="3373C04C"/>
    <w:rsid w:val="34690109"/>
    <w:rsid w:val="36344787"/>
    <w:rsid w:val="366D6F7E"/>
    <w:rsid w:val="376A21EC"/>
    <w:rsid w:val="3785F854"/>
    <w:rsid w:val="37BAFB15"/>
    <w:rsid w:val="389ABFAB"/>
    <w:rsid w:val="39CFF1E0"/>
    <w:rsid w:val="3A154431"/>
    <w:rsid w:val="3B10BA07"/>
    <w:rsid w:val="3B1E2C02"/>
    <w:rsid w:val="3B2D9147"/>
    <w:rsid w:val="3BA2F2A2"/>
    <w:rsid w:val="3BB1508F"/>
    <w:rsid w:val="3BD9465B"/>
    <w:rsid w:val="3D6C1057"/>
    <w:rsid w:val="3D97F4DA"/>
    <w:rsid w:val="3EB1609D"/>
    <w:rsid w:val="3F20CC5B"/>
    <w:rsid w:val="3F87E5DF"/>
    <w:rsid w:val="3F92DA8C"/>
    <w:rsid w:val="3FF8E510"/>
    <w:rsid w:val="40017089"/>
    <w:rsid w:val="404914FC"/>
    <w:rsid w:val="40C2A00D"/>
    <w:rsid w:val="4135AE4F"/>
    <w:rsid w:val="414B39C0"/>
    <w:rsid w:val="4151FBC4"/>
    <w:rsid w:val="42C68CBF"/>
    <w:rsid w:val="42D82F5A"/>
    <w:rsid w:val="433489FE"/>
    <w:rsid w:val="43429D10"/>
    <w:rsid w:val="438D5187"/>
    <w:rsid w:val="442D543E"/>
    <w:rsid w:val="443B690F"/>
    <w:rsid w:val="446D8947"/>
    <w:rsid w:val="4486E30D"/>
    <w:rsid w:val="44953CEC"/>
    <w:rsid w:val="449FF329"/>
    <w:rsid w:val="44FCE8F0"/>
    <w:rsid w:val="4505A592"/>
    <w:rsid w:val="4564C323"/>
    <w:rsid w:val="4589CAD8"/>
    <w:rsid w:val="459AF1F8"/>
    <w:rsid w:val="45DEABC3"/>
    <w:rsid w:val="46C7200D"/>
    <w:rsid w:val="47504C3B"/>
    <w:rsid w:val="47A99522"/>
    <w:rsid w:val="47E4E501"/>
    <w:rsid w:val="47F7F2D0"/>
    <w:rsid w:val="4843A6F7"/>
    <w:rsid w:val="48BD3102"/>
    <w:rsid w:val="48CBEE7F"/>
    <w:rsid w:val="4A55E0FB"/>
    <w:rsid w:val="4BB1A716"/>
    <w:rsid w:val="4BBE9643"/>
    <w:rsid w:val="4CBFE89C"/>
    <w:rsid w:val="4D3676B8"/>
    <w:rsid w:val="4DD6DBB1"/>
    <w:rsid w:val="4E595D4E"/>
    <w:rsid w:val="4E7E6070"/>
    <w:rsid w:val="4E8EBA1C"/>
    <w:rsid w:val="4EAEE75E"/>
    <w:rsid w:val="4F704258"/>
    <w:rsid w:val="4FA5B2E6"/>
    <w:rsid w:val="4FC1D100"/>
    <w:rsid w:val="4FE81178"/>
    <w:rsid w:val="50414CC9"/>
    <w:rsid w:val="508C98DC"/>
    <w:rsid w:val="51401D0C"/>
    <w:rsid w:val="516187F7"/>
    <w:rsid w:val="5181C325"/>
    <w:rsid w:val="51AF412B"/>
    <w:rsid w:val="51C38D24"/>
    <w:rsid w:val="51D0AE7A"/>
    <w:rsid w:val="51FFC06F"/>
    <w:rsid w:val="524822B4"/>
    <w:rsid w:val="52529D57"/>
    <w:rsid w:val="52823506"/>
    <w:rsid w:val="52A5F004"/>
    <w:rsid w:val="52B2E1AA"/>
    <w:rsid w:val="52C9FA5F"/>
    <w:rsid w:val="52E6667F"/>
    <w:rsid w:val="533C8A16"/>
    <w:rsid w:val="5430E977"/>
    <w:rsid w:val="54BE71B5"/>
    <w:rsid w:val="5522B449"/>
    <w:rsid w:val="552A442A"/>
    <w:rsid w:val="5571ED03"/>
    <w:rsid w:val="55A00FF1"/>
    <w:rsid w:val="56063839"/>
    <w:rsid w:val="569A09F3"/>
    <w:rsid w:val="56FFE034"/>
    <w:rsid w:val="5776D9B9"/>
    <w:rsid w:val="57AD2CD0"/>
    <w:rsid w:val="57B89CD8"/>
    <w:rsid w:val="57DC60B8"/>
    <w:rsid w:val="5809EC20"/>
    <w:rsid w:val="587E56B8"/>
    <w:rsid w:val="58AABCCD"/>
    <w:rsid w:val="5943D8B2"/>
    <w:rsid w:val="598A0B38"/>
    <w:rsid w:val="5B054448"/>
    <w:rsid w:val="5B2A2756"/>
    <w:rsid w:val="5B4229B4"/>
    <w:rsid w:val="5BE59D40"/>
    <w:rsid w:val="5BEB75C8"/>
    <w:rsid w:val="5C112C3A"/>
    <w:rsid w:val="5C228115"/>
    <w:rsid w:val="5C24A3D6"/>
    <w:rsid w:val="5CE7A408"/>
    <w:rsid w:val="5D36876F"/>
    <w:rsid w:val="5D767F9B"/>
    <w:rsid w:val="5D849D3B"/>
    <w:rsid w:val="5DE06CF3"/>
    <w:rsid w:val="5E92F1E1"/>
    <w:rsid w:val="5FD0750D"/>
    <w:rsid w:val="5FF24C03"/>
    <w:rsid w:val="60EC0967"/>
    <w:rsid w:val="610C8B9B"/>
    <w:rsid w:val="61B886F8"/>
    <w:rsid w:val="6208056E"/>
    <w:rsid w:val="625458C0"/>
    <w:rsid w:val="62B1D5A9"/>
    <w:rsid w:val="62F6FD0F"/>
    <w:rsid w:val="641A78E3"/>
    <w:rsid w:val="641CFBEB"/>
    <w:rsid w:val="64E8CB25"/>
    <w:rsid w:val="651CFD70"/>
    <w:rsid w:val="654DE454"/>
    <w:rsid w:val="65FFD83D"/>
    <w:rsid w:val="6646A6FD"/>
    <w:rsid w:val="6693948D"/>
    <w:rsid w:val="6711DD64"/>
    <w:rsid w:val="6735A80E"/>
    <w:rsid w:val="675C7DB9"/>
    <w:rsid w:val="680BFA84"/>
    <w:rsid w:val="68110DC1"/>
    <w:rsid w:val="6853F3AF"/>
    <w:rsid w:val="68EB9018"/>
    <w:rsid w:val="69999694"/>
    <w:rsid w:val="69C8FB34"/>
    <w:rsid w:val="69DB2862"/>
    <w:rsid w:val="6AB4C16D"/>
    <w:rsid w:val="6B5F8829"/>
    <w:rsid w:val="6B7EB14A"/>
    <w:rsid w:val="6C60B794"/>
    <w:rsid w:val="6C9997C5"/>
    <w:rsid w:val="6CB27E98"/>
    <w:rsid w:val="6D869035"/>
    <w:rsid w:val="6E499099"/>
    <w:rsid w:val="6E70D65B"/>
    <w:rsid w:val="6ECDF706"/>
    <w:rsid w:val="6F11C34A"/>
    <w:rsid w:val="6F4B4CD3"/>
    <w:rsid w:val="6F58C3E4"/>
    <w:rsid w:val="6F85CE4B"/>
    <w:rsid w:val="6FC9452B"/>
    <w:rsid w:val="7035260F"/>
    <w:rsid w:val="712CFE7D"/>
    <w:rsid w:val="713C69AC"/>
    <w:rsid w:val="71D985D4"/>
    <w:rsid w:val="71E39B2F"/>
    <w:rsid w:val="72398335"/>
    <w:rsid w:val="736FAFAB"/>
    <w:rsid w:val="73A271F1"/>
    <w:rsid w:val="7408179D"/>
    <w:rsid w:val="74A70D48"/>
    <w:rsid w:val="74D51E1A"/>
    <w:rsid w:val="750C1FA5"/>
    <w:rsid w:val="760261CE"/>
    <w:rsid w:val="76325D1E"/>
    <w:rsid w:val="76BBAF81"/>
    <w:rsid w:val="778E9D6A"/>
    <w:rsid w:val="77C8D76B"/>
    <w:rsid w:val="77E76D61"/>
    <w:rsid w:val="77E856BD"/>
    <w:rsid w:val="78045C9A"/>
    <w:rsid w:val="786B5978"/>
    <w:rsid w:val="787C1925"/>
    <w:rsid w:val="79713F21"/>
    <w:rsid w:val="797C658A"/>
    <w:rsid w:val="79F0CF07"/>
    <w:rsid w:val="7BC2FB7B"/>
    <w:rsid w:val="7BC6C0A5"/>
    <w:rsid w:val="7C0DD286"/>
    <w:rsid w:val="7C69B885"/>
    <w:rsid w:val="7CA9E439"/>
    <w:rsid w:val="7CD03630"/>
    <w:rsid w:val="7D4A5A03"/>
    <w:rsid w:val="7F486587"/>
    <w:rsid w:val="7F84D2DF"/>
    <w:rsid w:val="7FF5F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791B"/>
  <w15:chartTrackingRefBased/>
  <w15:docId w15:val="{189F733A-8820-43B3-8821-406B1A34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810"/>
    <w:rPr>
      <w:rFonts w:eastAsiaTheme="majorEastAsia" w:cstheme="majorBidi"/>
      <w:color w:val="272727" w:themeColor="text1" w:themeTint="D8"/>
    </w:rPr>
  </w:style>
  <w:style w:type="paragraph" w:styleId="Title">
    <w:name w:val="Title"/>
    <w:basedOn w:val="Normal"/>
    <w:next w:val="Normal"/>
    <w:link w:val="TitleChar"/>
    <w:uiPriority w:val="10"/>
    <w:qFormat/>
    <w:rsid w:val="00A25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810"/>
    <w:pPr>
      <w:spacing w:before="160"/>
      <w:jc w:val="center"/>
    </w:pPr>
    <w:rPr>
      <w:i/>
      <w:iCs/>
      <w:color w:val="404040" w:themeColor="text1" w:themeTint="BF"/>
    </w:rPr>
  </w:style>
  <w:style w:type="character" w:customStyle="1" w:styleId="QuoteChar">
    <w:name w:val="Quote Char"/>
    <w:basedOn w:val="DefaultParagraphFont"/>
    <w:link w:val="Quote"/>
    <w:uiPriority w:val="29"/>
    <w:rsid w:val="00A25810"/>
    <w:rPr>
      <w:i/>
      <w:iCs/>
      <w:color w:val="404040" w:themeColor="text1" w:themeTint="BF"/>
    </w:rPr>
  </w:style>
  <w:style w:type="paragraph" w:styleId="ListParagraph">
    <w:name w:val="List Paragraph"/>
    <w:basedOn w:val="Normal"/>
    <w:uiPriority w:val="34"/>
    <w:qFormat/>
    <w:rsid w:val="00A25810"/>
    <w:pPr>
      <w:ind w:left="720"/>
      <w:contextualSpacing/>
    </w:pPr>
  </w:style>
  <w:style w:type="character" w:styleId="IntenseEmphasis">
    <w:name w:val="Intense Emphasis"/>
    <w:basedOn w:val="DefaultParagraphFont"/>
    <w:uiPriority w:val="21"/>
    <w:qFormat/>
    <w:rsid w:val="00A25810"/>
    <w:rPr>
      <w:i/>
      <w:iCs/>
      <w:color w:val="0F4761" w:themeColor="accent1" w:themeShade="BF"/>
    </w:rPr>
  </w:style>
  <w:style w:type="paragraph" w:styleId="IntenseQuote">
    <w:name w:val="Intense Quote"/>
    <w:basedOn w:val="Normal"/>
    <w:next w:val="Normal"/>
    <w:link w:val="IntenseQuoteChar"/>
    <w:uiPriority w:val="30"/>
    <w:qFormat/>
    <w:rsid w:val="00A25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810"/>
    <w:rPr>
      <w:i/>
      <w:iCs/>
      <w:color w:val="0F4761" w:themeColor="accent1" w:themeShade="BF"/>
    </w:rPr>
  </w:style>
  <w:style w:type="character" w:styleId="IntenseReference">
    <w:name w:val="Intense Reference"/>
    <w:basedOn w:val="DefaultParagraphFont"/>
    <w:uiPriority w:val="32"/>
    <w:qFormat/>
    <w:rsid w:val="00A25810"/>
    <w:rPr>
      <w:b/>
      <w:bCs/>
      <w:smallCaps/>
      <w:color w:val="0F4761" w:themeColor="accent1" w:themeShade="BF"/>
      <w:spacing w:val="5"/>
    </w:rPr>
  </w:style>
  <w:style w:type="character" w:styleId="Hyperlink">
    <w:name w:val="Hyperlink"/>
    <w:basedOn w:val="DefaultParagraphFont"/>
    <w:uiPriority w:val="99"/>
    <w:unhideWhenUsed/>
    <w:rsid w:val="00A25810"/>
    <w:rPr>
      <w:color w:val="467886" w:themeColor="hyperlink"/>
      <w:u w:val="single"/>
    </w:rPr>
  </w:style>
  <w:style w:type="character" w:styleId="UnresolvedMention">
    <w:name w:val="Unresolved Mention"/>
    <w:basedOn w:val="DefaultParagraphFont"/>
    <w:uiPriority w:val="99"/>
    <w:semiHidden/>
    <w:unhideWhenUsed/>
    <w:rsid w:val="00A25810"/>
    <w:rPr>
      <w:color w:val="605E5C"/>
      <w:shd w:val="clear" w:color="auto" w:fill="E1DFDD"/>
    </w:rPr>
  </w:style>
  <w:style w:type="paragraph" w:styleId="NormalWeb">
    <w:name w:val="Normal (Web)"/>
    <w:basedOn w:val="Normal"/>
    <w:uiPriority w:val="99"/>
    <w:semiHidden/>
    <w:unhideWhenUsed/>
    <w:rsid w:val="009C74FD"/>
    <w:rPr>
      <w:rFonts w:ascii="Times New Roman" w:hAnsi="Times New Roman" w:cs="Times New Roman"/>
    </w:rPr>
  </w:style>
  <w:style w:type="paragraph" w:styleId="NoSpacing">
    <w:name w:val="No Spacing"/>
    <w:uiPriority w:val="1"/>
    <w:qFormat/>
    <w:rsid w:val="00041C66"/>
    <w:pPr>
      <w:spacing w:after="0" w:line="240" w:lineRule="auto"/>
    </w:pPr>
  </w:style>
  <w:style w:type="paragraph" w:styleId="Header">
    <w:name w:val="header"/>
    <w:basedOn w:val="Normal"/>
    <w:link w:val="HeaderChar"/>
    <w:uiPriority w:val="99"/>
    <w:unhideWhenUsed/>
    <w:rsid w:val="00B67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33"/>
  </w:style>
  <w:style w:type="paragraph" w:styleId="Footer">
    <w:name w:val="footer"/>
    <w:basedOn w:val="Normal"/>
    <w:link w:val="FooterChar"/>
    <w:uiPriority w:val="99"/>
    <w:unhideWhenUsed/>
    <w:rsid w:val="00B67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33"/>
  </w:style>
  <w:style w:type="table" w:styleId="TableGrid">
    <w:name w:val="Table Grid"/>
    <w:basedOn w:val="TableNormal"/>
    <w:uiPriority w:val="59"/>
    <w:rsid w:val="00B67D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6267">
      <w:bodyDiv w:val="1"/>
      <w:marLeft w:val="0"/>
      <w:marRight w:val="0"/>
      <w:marTop w:val="0"/>
      <w:marBottom w:val="0"/>
      <w:divBdr>
        <w:top w:val="none" w:sz="0" w:space="0" w:color="auto"/>
        <w:left w:val="none" w:sz="0" w:space="0" w:color="auto"/>
        <w:bottom w:val="none" w:sz="0" w:space="0" w:color="auto"/>
        <w:right w:val="none" w:sz="0" w:space="0" w:color="auto"/>
      </w:divBdr>
      <w:divsChild>
        <w:div w:id="1305886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23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482554">
      <w:bodyDiv w:val="1"/>
      <w:marLeft w:val="0"/>
      <w:marRight w:val="0"/>
      <w:marTop w:val="0"/>
      <w:marBottom w:val="0"/>
      <w:divBdr>
        <w:top w:val="none" w:sz="0" w:space="0" w:color="auto"/>
        <w:left w:val="none" w:sz="0" w:space="0" w:color="auto"/>
        <w:bottom w:val="none" w:sz="0" w:space="0" w:color="auto"/>
        <w:right w:val="none" w:sz="0" w:space="0" w:color="auto"/>
      </w:divBdr>
    </w:div>
    <w:div w:id="439108843">
      <w:bodyDiv w:val="1"/>
      <w:marLeft w:val="0"/>
      <w:marRight w:val="0"/>
      <w:marTop w:val="0"/>
      <w:marBottom w:val="0"/>
      <w:divBdr>
        <w:top w:val="none" w:sz="0" w:space="0" w:color="auto"/>
        <w:left w:val="none" w:sz="0" w:space="0" w:color="auto"/>
        <w:bottom w:val="none" w:sz="0" w:space="0" w:color="auto"/>
        <w:right w:val="none" w:sz="0" w:space="0" w:color="auto"/>
      </w:divBdr>
      <w:divsChild>
        <w:div w:id="636296571">
          <w:marLeft w:val="0"/>
          <w:marRight w:val="0"/>
          <w:marTop w:val="0"/>
          <w:marBottom w:val="0"/>
          <w:divBdr>
            <w:top w:val="none" w:sz="0" w:space="0" w:color="auto"/>
            <w:left w:val="none" w:sz="0" w:space="0" w:color="auto"/>
            <w:bottom w:val="none" w:sz="0" w:space="0" w:color="auto"/>
            <w:right w:val="none" w:sz="0" w:space="0" w:color="auto"/>
          </w:divBdr>
          <w:divsChild>
            <w:div w:id="7617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47508">
      <w:bodyDiv w:val="1"/>
      <w:marLeft w:val="0"/>
      <w:marRight w:val="0"/>
      <w:marTop w:val="0"/>
      <w:marBottom w:val="0"/>
      <w:divBdr>
        <w:top w:val="none" w:sz="0" w:space="0" w:color="auto"/>
        <w:left w:val="none" w:sz="0" w:space="0" w:color="auto"/>
        <w:bottom w:val="none" w:sz="0" w:space="0" w:color="auto"/>
        <w:right w:val="none" w:sz="0" w:space="0" w:color="auto"/>
      </w:divBdr>
      <w:divsChild>
        <w:div w:id="1334147475">
          <w:marLeft w:val="0"/>
          <w:marRight w:val="0"/>
          <w:marTop w:val="0"/>
          <w:marBottom w:val="0"/>
          <w:divBdr>
            <w:top w:val="none" w:sz="0" w:space="0" w:color="auto"/>
            <w:left w:val="none" w:sz="0" w:space="0" w:color="auto"/>
            <w:bottom w:val="none" w:sz="0" w:space="0" w:color="auto"/>
            <w:right w:val="none" w:sz="0" w:space="0" w:color="auto"/>
          </w:divBdr>
          <w:divsChild>
            <w:div w:id="9707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6407">
      <w:bodyDiv w:val="1"/>
      <w:marLeft w:val="0"/>
      <w:marRight w:val="0"/>
      <w:marTop w:val="0"/>
      <w:marBottom w:val="0"/>
      <w:divBdr>
        <w:top w:val="none" w:sz="0" w:space="0" w:color="auto"/>
        <w:left w:val="none" w:sz="0" w:space="0" w:color="auto"/>
        <w:bottom w:val="none" w:sz="0" w:space="0" w:color="auto"/>
        <w:right w:val="none" w:sz="0" w:space="0" w:color="auto"/>
      </w:divBdr>
      <w:divsChild>
        <w:div w:id="37508076">
          <w:marLeft w:val="0"/>
          <w:marRight w:val="0"/>
          <w:marTop w:val="0"/>
          <w:marBottom w:val="0"/>
          <w:divBdr>
            <w:top w:val="none" w:sz="0" w:space="0" w:color="auto"/>
            <w:left w:val="none" w:sz="0" w:space="0" w:color="auto"/>
            <w:bottom w:val="none" w:sz="0" w:space="0" w:color="auto"/>
            <w:right w:val="none" w:sz="0" w:space="0" w:color="auto"/>
          </w:divBdr>
          <w:divsChild>
            <w:div w:id="338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2524">
      <w:bodyDiv w:val="1"/>
      <w:marLeft w:val="0"/>
      <w:marRight w:val="0"/>
      <w:marTop w:val="0"/>
      <w:marBottom w:val="0"/>
      <w:divBdr>
        <w:top w:val="none" w:sz="0" w:space="0" w:color="auto"/>
        <w:left w:val="none" w:sz="0" w:space="0" w:color="auto"/>
        <w:bottom w:val="none" w:sz="0" w:space="0" w:color="auto"/>
        <w:right w:val="none" w:sz="0" w:space="0" w:color="auto"/>
      </w:divBdr>
    </w:div>
    <w:div w:id="1067529263">
      <w:bodyDiv w:val="1"/>
      <w:marLeft w:val="0"/>
      <w:marRight w:val="0"/>
      <w:marTop w:val="0"/>
      <w:marBottom w:val="0"/>
      <w:divBdr>
        <w:top w:val="none" w:sz="0" w:space="0" w:color="auto"/>
        <w:left w:val="none" w:sz="0" w:space="0" w:color="auto"/>
        <w:bottom w:val="none" w:sz="0" w:space="0" w:color="auto"/>
        <w:right w:val="none" w:sz="0" w:space="0" w:color="auto"/>
      </w:divBdr>
    </w:div>
    <w:div w:id="1571379977">
      <w:bodyDiv w:val="1"/>
      <w:marLeft w:val="0"/>
      <w:marRight w:val="0"/>
      <w:marTop w:val="0"/>
      <w:marBottom w:val="0"/>
      <w:divBdr>
        <w:top w:val="none" w:sz="0" w:space="0" w:color="auto"/>
        <w:left w:val="none" w:sz="0" w:space="0" w:color="auto"/>
        <w:bottom w:val="none" w:sz="0" w:space="0" w:color="auto"/>
        <w:right w:val="none" w:sz="0" w:space="0" w:color="auto"/>
      </w:divBdr>
    </w:div>
    <w:div w:id="1574119878">
      <w:bodyDiv w:val="1"/>
      <w:marLeft w:val="0"/>
      <w:marRight w:val="0"/>
      <w:marTop w:val="0"/>
      <w:marBottom w:val="0"/>
      <w:divBdr>
        <w:top w:val="none" w:sz="0" w:space="0" w:color="auto"/>
        <w:left w:val="none" w:sz="0" w:space="0" w:color="auto"/>
        <w:bottom w:val="none" w:sz="0" w:space="0" w:color="auto"/>
        <w:right w:val="none" w:sz="0" w:space="0" w:color="auto"/>
      </w:divBdr>
      <w:divsChild>
        <w:div w:id="285964179">
          <w:marLeft w:val="0"/>
          <w:marRight w:val="0"/>
          <w:marTop w:val="0"/>
          <w:marBottom w:val="0"/>
          <w:divBdr>
            <w:top w:val="none" w:sz="0" w:space="0" w:color="auto"/>
            <w:left w:val="none" w:sz="0" w:space="0" w:color="auto"/>
            <w:bottom w:val="none" w:sz="0" w:space="0" w:color="auto"/>
            <w:right w:val="none" w:sz="0" w:space="0" w:color="auto"/>
          </w:divBdr>
          <w:divsChild>
            <w:div w:id="6073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27269">
      <w:bodyDiv w:val="1"/>
      <w:marLeft w:val="0"/>
      <w:marRight w:val="0"/>
      <w:marTop w:val="0"/>
      <w:marBottom w:val="0"/>
      <w:divBdr>
        <w:top w:val="none" w:sz="0" w:space="0" w:color="auto"/>
        <w:left w:val="none" w:sz="0" w:space="0" w:color="auto"/>
        <w:bottom w:val="none" w:sz="0" w:space="0" w:color="auto"/>
        <w:right w:val="none" w:sz="0" w:space="0" w:color="auto"/>
      </w:divBdr>
      <w:divsChild>
        <w:div w:id="91181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721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899322">
      <w:bodyDiv w:val="1"/>
      <w:marLeft w:val="0"/>
      <w:marRight w:val="0"/>
      <w:marTop w:val="0"/>
      <w:marBottom w:val="0"/>
      <w:divBdr>
        <w:top w:val="none" w:sz="0" w:space="0" w:color="auto"/>
        <w:left w:val="none" w:sz="0" w:space="0" w:color="auto"/>
        <w:bottom w:val="none" w:sz="0" w:space="0" w:color="auto"/>
        <w:right w:val="none" w:sz="0" w:space="0" w:color="auto"/>
      </w:divBdr>
      <w:divsChild>
        <w:div w:id="458228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622811">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82439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ga.gov/legislation/104/SB/PDF/10400SB0268sam001.pdf" TargetMode="External"/><Relationship Id="rId13" Type="http://schemas.openxmlformats.org/officeDocument/2006/relationships/hyperlink" Target="https://www.ilga.gov/legislation/104/HB/PDF/10400HB1076lv.pdf" TargetMode="External"/><Relationship Id="rId18" Type="http://schemas.openxmlformats.org/officeDocument/2006/relationships/hyperlink" Target="https://capitolnewsillinois.com/news/state-lawmakers-brace-for-possible-federal-cuts-to-medicaid/" TargetMode="External"/><Relationship Id="rId26" Type="http://schemas.openxmlformats.org/officeDocument/2006/relationships/hyperlink" Target="https://cgfa.ilga.gov/Upload/2025StateofILEconomicForecast.pdf" TargetMode="External"/><Relationship Id="rId3" Type="http://schemas.openxmlformats.org/officeDocument/2006/relationships/settings" Target="settings.xml"/><Relationship Id="rId21" Type="http://schemas.openxmlformats.org/officeDocument/2006/relationships/hyperlink" Target="https://cgfa.ilga.gov/Upload/03042025RevEstEconForecast.pdf" TargetMode="External"/><Relationship Id="rId7" Type="http://schemas.openxmlformats.org/officeDocument/2006/relationships/hyperlink" Target="https://ilga.gov/house/schedules/hearings.asp?Scheduled=W" TargetMode="External"/><Relationship Id="rId12" Type="http://schemas.openxmlformats.org/officeDocument/2006/relationships/hyperlink" Target="https://www.ilga.gov/legislation/104/HB/PDF/10400HB1141ham002.pdf" TargetMode="External"/><Relationship Id="rId17" Type="http://schemas.openxmlformats.org/officeDocument/2006/relationships/hyperlink" Target="https://www.ilga.gov/legislation/104/SB/PDF/10400SB0040lv.pdf" TargetMode="External"/><Relationship Id="rId25" Type="http://schemas.openxmlformats.org/officeDocument/2006/relationships/hyperlink" Target="https://cgfa.ilga.gov/Upload/225%20Monthly.pdf" TargetMode="External"/><Relationship Id="rId2" Type="http://schemas.openxmlformats.org/officeDocument/2006/relationships/styles" Target="styles.xml"/><Relationship Id="rId16" Type="http://schemas.openxmlformats.org/officeDocument/2006/relationships/hyperlink" Target="https://www.ilga.gov/legislation/104/SB/PDF/10400SB1238lv.pdf" TargetMode="External"/><Relationship Id="rId20" Type="http://schemas.openxmlformats.org/officeDocument/2006/relationships/hyperlink" Target="https://gov-pritzker-newsroom.prezly.com/gov-pritzker-breaks-ground-on-wieland-north-americas-modernized-east-alton-facility"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lga.gov/legislation/104/HB/PDF/10400HB2425lv.pdf" TargetMode="External"/><Relationship Id="rId24" Type="http://schemas.openxmlformats.org/officeDocument/2006/relationships/hyperlink" Target="https://cgfa.ilga.gov/Upload/225%20Monthly.pdf" TargetMode="External"/><Relationship Id="rId32" Type="http://schemas.microsoft.com/office/2020/10/relationships/intelligence" Target="intelligence2.xml"/><Relationship Id="rId5" Type="http://schemas.openxmlformats.org/officeDocument/2006/relationships/footnotes" Target="footnotes.xml"/><Relationship Id="rId15" Type="http://schemas.openxmlformats.org/officeDocument/2006/relationships/hyperlink" Target="https://www.ilga.gov/legislation/104/SB/PDF/10400SB2105lv.pdf" TargetMode="External"/><Relationship Id="rId23" Type="http://schemas.openxmlformats.org/officeDocument/2006/relationships/hyperlink" Target="https://cgfa.ilga.gov/Upload/03042025RevEstEconForecast.pdf" TargetMode="External"/><Relationship Id="rId28" Type="http://schemas.openxmlformats.org/officeDocument/2006/relationships/header" Target="header1.xml"/><Relationship Id="rId10" Type="http://schemas.openxmlformats.org/officeDocument/2006/relationships/hyperlink" Target="https://www.ilga.gov/legislation/104/HB/PDF/10400HB1782lv.pdf" TargetMode="External"/><Relationship Id="rId19" Type="http://schemas.openxmlformats.org/officeDocument/2006/relationships/hyperlink" Target="https://gov-pritzker-newsroom.prezly.com/gov-pritzker-issues-statement-on-trumps-tax-on-working-families-taking-effec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iiaess\Folder%20Redirection\Emanning\Documents\Flex%20Rating%20Message.pdf" TargetMode="External"/><Relationship Id="rId14" Type="http://schemas.openxmlformats.org/officeDocument/2006/relationships/hyperlink" Target="https://www.ilga.gov/legislation/104/SB/PDF/10400SB0069sam001.pdf" TargetMode="External"/><Relationship Id="rId22" Type="http://schemas.openxmlformats.org/officeDocument/2006/relationships/hyperlink" Target="https://cgfa.ilga.gov/Upload/225%20Monthly.pdf" TargetMode="External"/><Relationship Id="rId27" Type="http://schemas.openxmlformats.org/officeDocument/2006/relationships/hyperlink" Target="https://chicago.suntimes.com/brandonjohnson/2025/03/05/chicago-sanctuary-city-brandon-johnson-testimony-updates-fil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2477</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Links>
    <vt:vector size="102" baseType="variant">
      <vt:variant>
        <vt:i4>1900639</vt:i4>
      </vt:variant>
      <vt:variant>
        <vt:i4>48</vt:i4>
      </vt:variant>
      <vt:variant>
        <vt:i4>0</vt:i4>
      </vt:variant>
      <vt:variant>
        <vt:i4>5</vt:i4>
      </vt:variant>
      <vt:variant>
        <vt:lpwstr>https://chicago.suntimes.com/brandonjohnson/2025/03/05/chicago-sanctuary-city-brandon-johnson-testimony-updates-file</vt:lpwstr>
      </vt:variant>
      <vt:variant>
        <vt:lpwstr/>
      </vt:variant>
      <vt:variant>
        <vt:i4>4128876</vt:i4>
      </vt:variant>
      <vt:variant>
        <vt:i4>45</vt:i4>
      </vt:variant>
      <vt:variant>
        <vt:i4>0</vt:i4>
      </vt:variant>
      <vt:variant>
        <vt:i4>5</vt:i4>
      </vt:variant>
      <vt:variant>
        <vt:lpwstr>https://illinoisattorneygeneral.gov/news/story/attorney-general-raoul-leads-coalition-defending-the-integrity-of-the-national-labor-relations-board-3-5-25</vt:lpwstr>
      </vt:variant>
      <vt:variant>
        <vt:lpwstr/>
      </vt:variant>
      <vt:variant>
        <vt:i4>1704010</vt:i4>
      </vt:variant>
      <vt:variant>
        <vt:i4>42</vt:i4>
      </vt:variant>
      <vt:variant>
        <vt:i4>0</vt:i4>
      </vt:variant>
      <vt:variant>
        <vt:i4>5</vt:i4>
      </vt:variant>
      <vt:variant>
        <vt:lpwstr>https://illinoisattorneygeneral.gov/news/story/attorney-general-raoul-issues-multistate-guidance-for-schools-on-diversity-equity-inclusion-and-accessibility-initiatives3525</vt:lpwstr>
      </vt:variant>
      <vt:variant>
        <vt:lpwstr/>
      </vt:variant>
      <vt:variant>
        <vt:i4>8061025</vt:i4>
      </vt:variant>
      <vt:variant>
        <vt:i4>39</vt:i4>
      </vt:variant>
      <vt:variant>
        <vt:i4>0</vt:i4>
      </vt:variant>
      <vt:variant>
        <vt:i4>5</vt:i4>
      </vt:variant>
      <vt:variant>
        <vt:lpwstr>https://cgfa.ilga.gov/Upload/2025StateofILEconomicForecast.pdf</vt:lpwstr>
      </vt:variant>
      <vt:variant>
        <vt:lpwstr/>
      </vt:variant>
      <vt:variant>
        <vt:i4>983055</vt:i4>
      </vt:variant>
      <vt:variant>
        <vt:i4>36</vt:i4>
      </vt:variant>
      <vt:variant>
        <vt:i4>0</vt:i4>
      </vt:variant>
      <vt:variant>
        <vt:i4>5</vt:i4>
      </vt:variant>
      <vt:variant>
        <vt:lpwstr>https://cgfa.ilga.gov/Upload/225 Monthly.pdf</vt:lpwstr>
      </vt:variant>
      <vt:variant>
        <vt:lpwstr/>
      </vt:variant>
      <vt:variant>
        <vt:i4>983055</vt:i4>
      </vt:variant>
      <vt:variant>
        <vt:i4>33</vt:i4>
      </vt:variant>
      <vt:variant>
        <vt:i4>0</vt:i4>
      </vt:variant>
      <vt:variant>
        <vt:i4>5</vt:i4>
      </vt:variant>
      <vt:variant>
        <vt:lpwstr>https://cgfa.ilga.gov/Upload/225 Monthly.pdf</vt:lpwstr>
      </vt:variant>
      <vt:variant>
        <vt:lpwstr/>
      </vt:variant>
      <vt:variant>
        <vt:i4>4128820</vt:i4>
      </vt:variant>
      <vt:variant>
        <vt:i4>30</vt:i4>
      </vt:variant>
      <vt:variant>
        <vt:i4>0</vt:i4>
      </vt:variant>
      <vt:variant>
        <vt:i4>5</vt:i4>
      </vt:variant>
      <vt:variant>
        <vt:lpwstr>https://cgfa.ilga.gov/Upload/03042025RevEstEconForecast.pdf</vt:lpwstr>
      </vt:variant>
      <vt:variant>
        <vt:lpwstr/>
      </vt:variant>
      <vt:variant>
        <vt:i4>983055</vt:i4>
      </vt:variant>
      <vt:variant>
        <vt:i4>27</vt:i4>
      </vt:variant>
      <vt:variant>
        <vt:i4>0</vt:i4>
      </vt:variant>
      <vt:variant>
        <vt:i4>5</vt:i4>
      </vt:variant>
      <vt:variant>
        <vt:lpwstr>https://cgfa.ilga.gov/Upload/225 Monthly.pdf</vt:lpwstr>
      </vt:variant>
      <vt:variant>
        <vt:lpwstr/>
      </vt:variant>
      <vt:variant>
        <vt:i4>4128820</vt:i4>
      </vt:variant>
      <vt:variant>
        <vt:i4>24</vt:i4>
      </vt:variant>
      <vt:variant>
        <vt:i4>0</vt:i4>
      </vt:variant>
      <vt:variant>
        <vt:i4>5</vt:i4>
      </vt:variant>
      <vt:variant>
        <vt:lpwstr>https://cgfa.ilga.gov/Upload/03042025RevEstEconForecast.pdf</vt:lpwstr>
      </vt:variant>
      <vt:variant>
        <vt:lpwstr/>
      </vt:variant>
      <vt:variant>
        <vt:i4>5439506</vt:i4>
      </vt:variant>
      <vt:variant>
        <vt:i4>21</vt:i4>
      </vt:variant>
      <vt:variant>
        <vt:i4>0</vt:i4>
      </vt:variant>
      <vt:variant>
        <vt:i4>5</vt:i4>
      </vt:variant>
      <vt:variant>
        <vt:lpwstr>https://gov-pritzker-newsroom.prezly.com/gov-pritzker-breaks-ground-on-wieland-north-americas-modernized-east-alton-facility</vt:lpwstr>
      </vt:variant>
      <vt:variant>
        <vt:lpwstr/>
      </vt:variant>
      <vt:variant>
        <vt:i4>7077952</vt:i4>
      </vt:variant>
      <vt:variant>
        <vt:i4>18</vt:i4>
      </vt:variant>
      <vt:variant>
        <vt:i4>0</vt:i4>
      </vt:variant>
      <vt:variant>
        <vt:i4>5</vt:i4>
      </vt:variant>
      <vt:variant>
        <vt:lpwstr>https://gov-pritzker-newsroom.prezly.com/gov-pritzker-proposes-expanding-access-to-four-year-degrees-at-community-colleges?utm_source=prezly.com&amp;utm_medium=campaign&amp;utm_campaign=Gov.+Pritzker+Proposes+Expanding+Access+to+Four-Year+Degrees+at+Community+Colleges&amp;utm_id=ec596bf7-a9bf-430b-8d31-739993cd5646&amp;utm_content=story+title</vt:lpwstr>
      </vt:variant>
      <vt:variant>
        <vt:lpwstr/>
      </vt:variant>
      <vt:variant>
        <vt:i4>3014755</vt:i4>
      </vt:variant>
      <vt:variant>
        <vt:i4>15</vt:i4>
      </vt:variant>
      <vt:variant>
        <vt:i4>0</vt:i4>
      </vt:variant>
      <vt:variant>
        <vt:i4>5</vt:i4>
      </vt:variant>
      <vt:variant>
        <vt:lpwstr>https://gov-pritzker-newsroom.prezly.com/gov-pritzker-issues-statement-on-trumps-tax-on-working-families-taking-effect</vt:lpwstr>
      </vt:variant>
      <vt:variant>
        <vt:lpwstr/>
      </vt:variant>
      <vt:variant>
        <vt:i4>5046342</vt:i4>
      </vt:variant>
      <vt:variant>
        <vt:i4>12</vt:i4>
      </vt:variant>
      <vt:variant>
        <vt:i4>0</vt:i4>
      </vt:variant>
      <vt:variant>
        <vt:i4>5</vt:i4>
      </vt:variant>
      <vt:variant>
        <vt:lpwstr>https://capitolnewsillinois.com/news/state-lawmakers-brace-for-possible-federal-cuts-to-medicaid/</vt:lpwstr>
      </vt:variant>
      <vt:variant>
        <vt:lpwstr/>
      </vt:variant>
      <vt:variant>
        <vt:i4>7929917</vt:i4>
      </vt:variant>
      <vt:variant>
        <vt:i4>9</vt:i4>
      </vt:variant>
      <vt:variant>
        <vt:i4>0</vt:i4>
      </vt:variant>
      <vt:variant>
        <vt:i4>5</vt:i4>
      </vt:variant>
      <vt:variant>
        <vt:lpwstr>https://ilga.gov/legislation/BillStatus.asp?DocNum=1375&amp;GAID=18&amp;DocTypeID=HB&amp;LegID=157318&amp;SessionID=114</vt:lpwstr>
      </vt:variant>
      <vt:variant>
        <vt:lpwstr/>
      </vt:variant>
      <vt:variant>
        <vt:i4>6553636</vt:i4>
      </vt:variant>
      <vt:variant>
        <vt:i4>6</vt:i4>
      </vt:variant>
      <vt:variant>
        <vt:i4>0</vt:i4>
      </vt:variant>
      <vt:variant>
        <vt:i4>5</vt:i4>
      </vt:variant>
      <vt:variant>
        <vt:lpwstr>https://ilga.gov/legislation/billstatus.asp?DocNum=2057&amp;GAID=18&amp;GA=104&amp;DocTypeID=SB&amp;LegID=161509&amp;SessionID=114</vt:lpwstr>
      </vt:variant>
      <vt:variant>
        <vt:lpwstr/>
      </vt:variant>
      <vt:variant>
        <vt:i4>7995450</vt:i4>
      </vt:variant>
      <vt:variant>
        <vt:i4>3</vt:i4>
      </vt:variant>
      <vt:variant>
        <vt:i4>0</vt:i4>
      </vt:variant>
      <vt:variant>
        <vt:i4>5</vt:i4>
      </vt:variant>
      <vt:variant>
        <vt:lpwstr>https://ilga.gov/legislation/BillStatus.asp?DocNum=1175&amp;GAID=18&amp;DocTypeID=HB&amp;LegID=156937&amp;SessionID=114</vt:lpwstr>
      </vt:variant>
      <vt:variant>
        <vt:lpwstr/>
      </vt:variant>
      <vt:variant>
        <vt:i4>5963846</vt:i4>
      </vt:variant>
      <vt:variant>
        <vt:i4>0</vt:i4>
      </vt:variant>
      <vt:variant>
        <vt:i4>0</vt:i4>
      </vt:variant>
      <vt:variant>
        <vt:i4>5</vt:i4>
      </vt:variant>
      <vt:variant>
        <vt:lpwstr>https://ilga.gov/house/schedules/hearings.asp?Scheduled=W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4</cp:revision>
  <dcterms:created xsi:type="dcterms:W3CDTF">2025-03-07T16:27:00Z</dcterms:created>
  <dcterms:modified xsi:type="dcterms:W3CDTF">2025-03-07T16:31:00Z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5e214ebc-3005-4a01-8d31-b338b26a33be</vt:lpwstr>
  </property>
</Properties>
</file>